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3F" w:rsidRPr="0008583D" w:rsidRDefault="0024048B">
      <w:pPr>
        <w:rPr>
          <w:rFonts w:ascii="Times New Roman" w:hAnsi="Times New Roman" w:cs="Times New Roman"/>
          <w:b/>
          <w:sz w:val="28"/>
          <w:szCs w:val="28"/>
        </w:rPr>
      </w:pPr>
      <w:r w:rsidRPr="0008583D">
        <w:rPr>
          <w:rFonts w:ascii="Times New Roman" w:hAnsi="Times New Roman" w:cs="Times New Roman"/>
          <w:b/>
          <w:sz w:val="28"/>
          <w:szCs w:val="28"/>
        </w:rPr>
        <w:t xml:space="preserve">Pompa infuzyjna </w:t>
      </w:r>
      <w:proofErr w:type="spellStart"/>
      <w:r w:rsidR="00267BEF" w:rsidRPr="0008583D">
        <w:rPr>
          <w:rFonts w:ascii="Times New Roman" w:hAnsi="Times New Roman" w:cs="Times New Roman"/>
          <w:b/>
          <w:sz w:val="28"/>
          <w:szCs w:val="28"/>
        </w:rPr>
        <w:t>jednostrzykawkowa</w:t>
      </w:r>
      <w:proofErr w:type="spellEnd"/>
      <w:r w:rsidR="000751C6" w:rsidRPr="0008583D">
        <w:rPr>
          <w:rFonts w:ascii="Times New Roman" w:hAnsi="Times New Roman" w:cs="Times New Roman"/>
          <w:b/>
          <w:sz w:val="28"/>
          <w:szCs w:val="28"/>
        </w:rPr>
        <w:t xml:space="preserve"> – 140 szt.</w:t>
      </w:r>
      <w:r w:rsidR="0008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215"/>
        <w:gridCol w:w="2268"/>
        <w:gridCol w:w="2334"/>
      </w:tblGrid>
      <w:tr w:rsidR="008934D3" w:rsidRPr="0008583D" w:rsidTr="008934D3">
        <w:trPr>
          <w:trHeight w:val="737"/>
        </w:trPr>
        <w:tc>
          <w:tcPr>
            <w:tcW w:w="571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5" w:type="dxa"/>
          </w:tcPr>
          <w:p w:rsidR="0084033D" w:rsidRPr="0008583D" w:rsidRDefault="0084033D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34D3" w:rsidRPr="0008583D" w:rsidRDefault="0084787E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Pompa infuzyjna</w:t>
            </w:r>
          </w:p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4033D" w:rsidRPr="0008583D" w:rsidRDefault="0084033D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34D3" w:rsidRPr="0008583D" w:rsidRDefault="0084033D" w:rsidP="0084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Warunek</w:t>
            </w:r>
          </w:p>
        </w:tc>
        <w:tc>
          <w:tcPr>
            <w:tcW w:w="2334" w:type="dxa"/>
          </w:tcPr>
          <w:p w:rsidR="0084033D" w:rsidRPr="0008583D" w:rsidRDefault="0084033D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34D3" w:rsidRPr="0008583D" w:rsidRDefault="0084033D" w:rsidP="0084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Potwierdzenie/Opis Wykonawcy</w:t>
            </w:r>
          </w:p>
        </w:tc>
      </w:tr>
      <w:tr w:rsidR="008934D3" w:rsidRPr="0008583D" w:rsidTr="0084033D">
        <w:trPr>
          <w:trHeight w:val="279"/>
        </w:trPr>
        <w:tc>
          <w:tcPr>
            <w:tcW w:w="571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15" w:type="dxa"/>
          </w:tcPr>
          <w:p w:rsidR="008934D3" w:rsidRPr="0008583D" w:rsidRDefault="008934D3" w:rsidP="00DD4E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Typ/Model</w:t>
            </w:r>
          </w:p>
        </w:tc>
        <w:tc>
          <w:tcPr>
            <w:tcW w:w="2268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4D3" w:rsidRPr="0008583D" w:rsidTr="0084033D">
        <w:trPr>
          <w:trHeight w:val="269"/>
        </w:trPr>
        <w:tc>
          <w:tcPr>
            <w:tcW w:w="571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15" w:type="dxa"/>
          </w:tcPr>
          <w:p w:rsidR="008934D3" w:rsidRPr="0008583D" w:rsidRDefault="008934D3" w:rsidP="00DD4E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2268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4D3" w:rsidRPr="0008583D" w:rsidTr="0084033D">
        <w:trPr>
          <w:trHeight w:val="274"/>
        </w:trPr>
        <w:tc>
          <w:tcPr>
            <w:tcW w:w="571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15" w:type="dxa"/>
          </w:tcPr>
          <w:p w:rsidR="008934D3" w:rsidRPr="0008583D" w:rsidRDefault="008934D3" w:rsidP="00DD4E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2268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4D3" w:rsidRPr="0008583D" w:rsidTr="008934D3">
        <w:trPr>
          <w:trHeight w:val="737"/>
        </w:trPr>
        <w:tc>
          <w:tcPr>
            <w:tcW w:w="571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15" w:type="dxa"/>
          </w:tcPr>
          <w:p w:rsidR="008934D3" w:rsidRPr="0008583D" w:rsidRDefault="008934D3" w:rsidP="00DD4EB2">
            <w:pPr>
              <w:pStyle w:val="Domynie"/>
              <w:rPr>
                <w:rFonts w:ascii="Times New Roman" w:cs="Times New Roman"/>
                <w:sz w:val="20"/>
                <w:szCs w:val="20"/>
              </w:rPr>
            </w:pPr>
            <w:r w:rsidRPr="0008583D">
              <w:rPr>
                <w:rFonts w:ascii="Times New Roman" w:cs="Times New Roman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8934D3" w:rsidRPr="0008583D" w:rsidRDefault="008934D3" w:rsidP="00DD4EB2">
            <w:pPr>
              <w:pStyle w:val="Domynie"/>
              <w:numPr>
                <w:ilvl w:val="0"/>
                <w:numId w:val="1"/>
              </w:numPr>
              <w:rPr>
                <w:rFonts w:ascii="Times New Roman" w:cs="Times New Roman"/>
                <w:sz w:val="20"/>
                <w:szCs w:val="20"/>
              </w:rPr>
            </w:pPr>
            <w:r w:rsidRPr="0008583D">
              <w:rPr>
                <w:rFonts w:ascii="Times New Roman" w:cs="Times New Roman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8934D3" w:rsidRPr="0008583D" w:rsidRDefault="008934D3" w:rsidP="00DD4EB2">
            <w:pPr>
              <w:pStyle w:val="Domynie"/>
              <w:numPr>
                <w:ilvl w:val="0"/>
                <w:numId w:val="1"/>
              </w:numPr>
              <w:rPr>
                <w:rFonts w:ascii="Times New Roman" w:cs="Times New Roman"/>
                <w:sz w:val="20"/>
                <w:szCs w:val="20"/>
              </w:rPr>
            </w:pPr>
            <w:r w:rsidRPr="0008583D">
              <w:rPr>
                <w:rFonts w:ascii="Times New Roman" w:cs="Times New Roman"/>
                <w:sz w:val="20"/>
                <w:szCs w:val="20"/>
              </w:rPr>
              <w:t>posiadać deklarację zgodności dla oferowanego przedmiotu zamówienia;</w:t>
            </w:r>
          </w:p>
          <w:p w:rsidR="008934D3" w:rsidRPr="0008583D" w:rsidRDefault="008934D3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2268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rPr>
          <w:trHeight w:val="737"/>
        </w:trPr>
        <w:tc>
          <w:tcPr>
            <w:tcW w:w="571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15" w:type="dxa"/>
          </w:tcPr>
          <w:p w:rsidR="008934D3" w:rsidRPr="0008583D" w:rsidRDefault="008934D3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268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rPr>
          <w:trHeight w:val="737"/>
        </w:trPr>
        <w:tc>
          <w:tcPr>
            <w:tcW w:w="571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15" w:type="dxa"/>
          </w:tcPr>
          <w:p w:rsidR="008934D3" w:rsidRPr="0008583D" w:rsidRDefault="008934D3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268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4033D">
        <w:trPr>
          <w:trHeight w:val="255"/>
        </w:trPr>
        <w:tc>
          <w:tcPr>
            <w:tcW w:w="9388" w:type="dxa"/>
            <w:gridSpan w:val="4"/>
          </w:tcPr>
          <w:p w:rsidR="008934D3" w:rsidRPr="0008583D" w:rsidRDefault="0084033D" w:rsidP="0084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Ogólne parametry techniczne</w:t>
            </w: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15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Pompa </w:t>
            </w:r>
            <w:proofErr w:type="spellStart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strzykawkowa</w:t>
            </w:r>
            <w:proofErr w:type="spellEnd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fabrycznie nowa 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15" w:type="dxa"/>
          </w:tcPr>
          <w:p w:rsidR="008934D3" w:rsidRPr="0008583D" w:rsidRDefault="008934D3" w:rsidP="00E53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Możliwość zastosowania strzykawek o pojemności min. od 5 do 50 ml 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Szybkość dozowania nastawialna co 0,1 ml/h.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Możliwość podawania programowanej dawki uderzeniowej (bolus).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Dokładność dozowania zgodnie z normą  EN60601-2-24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Jednostki </w:t>
            </w:r>
            <w:r w:rsidR="00583124" w:rsidRPr="0008583D">
              <w:rPr>
                <w:rFonts w:ascii="Times New Roman" w:hAnsi="Times New Roman" w:cs="Times New Roman"/>
                <w:sz w:val="20"/>
                <w:szCs w:val="20"/>
              </w:rPr>
              <w:t>programowania prędkości infuzji min.:</w:t>
            </w: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ml/h, </w:t>
            </w:r>
            <w:proofErr w:type="spellStart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mh</w:t>
            </w:r>
            <w:proofErr w:type="spellEnd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/h, mg/kg/h, mg/kg/min.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 w:rsidP="00872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Ciśnienie okluzji m.in. 90 </w:t>
            </w:r>
            <w:proofErr w:type="spellStart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kPa</w:t>
            </w:r>
            <w:proofErr w:type="spellEnd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( programowalne co 10 </w:t>
            </w:r>
            <w:proofErr w:type="spellStart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kPa</w:t>
            </w:r>
            <w:proofErr w:type="spellEnd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872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Regulacja głośności alarmu.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Biblioteka leków z możliwością modyfikacji.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 w:rsidP="00872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Historia infuzji 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 w:rsidP="00872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Możliwość zmiany parametrów podczas infuzji.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Zasilanie 230v AC, 50 </w:t>
            </w:r>
            <w:proofErr w:type="spellStart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oraz akumulator 12  v DC.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 w:rsidP="0069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Waga max do </w:t>
            </w:r>
            <w:r w:rsidR="00695A0F" w:rsidRPr="00085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kg.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 w:rsidP="00872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Czas pracy na akumulatorze min. 3 godz.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872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4E2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E2A26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Możliwość mocowania pompy do statywów oraz umieszczenia na półce.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4E2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E2A26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Komunikacja z użytkownikiem w języku polskim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124" w:rsidRPr="0008583D" w:rsidTr="008934D3">
        <w:tc>
          <w:tcPr>
            <w:tcW w:w="571" w:type="dxa"/>
          </w:tcPr>
          <w:p w:rsidR="00583124" w:rsidRPr="0008583D" w:rsidRDefault="00583124" w:rsidP="004E2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E2A26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583124" w:rsidRPr="0008583D" w:rsidRDefault="00695A0F" w:rsidP="0069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22B6B"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ożliwość łączenia pomp w moduły pomp </w:t>
            </w:r>
            <w:proofErr w:type="spellStart"/>
            <w:r w:rsidR="00022B6B" w:rsidRPr="0008583D">
              <w:rPr>
                <w:rFonts w:ascii="Times New Roman" w:hAnsi="Times New Roman" w:cs="Times New Roman"/>
                <w:sz w:val="20"/>
                <w:szCs w:val="20"/>
              </w:rPr>
              <w:t>dwustrzykawkowych</w:t>
            </w:r>
            <w:proofErr w:type="spellEnd"/>
            <w:r w:rsidR="00022B6B"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31D">
              <w:rPr>
                <w:rFonts w:ascii="Times New Roman" w:hAnsi="Times New Roman" w:cs="Times New Roman"/>
                <w:sz w:val="20"/>
                <w:szCs w:val="20"/>
              </w:rPr>
              <w:t>bez użycia stacji dokującej</w:t>
            </w:r>
          </w:p>
        </w:tc>
        <w:tc>
          <w:tcPr>
            <w:tcW w:w="2268" w:type="dxa"/>
          </w:tcPr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6B" w:rsidRPr="0008583D" w:rsidRDefault="00022B6B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Tak/Opisać</w:t>
            </w:r>
          </w:p>
        </w:tc>
        <w:tc>
          <w:tcPr>
            <w:tcW w:w="2334" w:type="dxa"/>
          </w:tcPr>
          <w:p w:rsidR="00583124" w:rsidRPr="0008583D" w:rsidRDefault="00583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194D19">
        <w:tc>
          <w:tcPr>
            <w:tcW w:w="9388" w:type="dxa"/>
            <w:gridSpan w:val="4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Warunki serwisu</w:t>
            </w: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15" w:type="dxa"/>
          </w:tcPr>
          <w:p w:rsidR="0084033D" w:rsidRPr="0008583D" w:rsidRDefault="0084033D" w:rsidP="009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Okres gwarancji minimum </w:t>
            </w:r>
            <w:r w:rsidR="009723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bookmarkStart w:id="0" w:name="_GoBack"/>
            <w:bookmarkEnd w:id="0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miesięcy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215" w:type="dxa"/>
          </w:tcPr>
          <w:p w:rsidR="0084033D" w:rsidRPr="0008583D" w:rsidRDefault="0084033D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W okresie gwarancji w ramach zaoferowanej ceny Wykonawca przeprowadzi okresowe przeglądy techniczne przedmiotu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A26" w:rsidRPr="0008583D" w:rsidRDefault="004E2A26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A26" w:rsidRPr="0008583D" w:rsidRDefault="004E2A26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15" w:type="dxa"/>
          </w:tcPr>
          <w:p w:rsidR="0084033D" w:rsidRPr="0008583D" w:rsidRDefault="0084033D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15" w:type="dxa"/>
          </w:tcPr>
          <w:p w:rsidR="0084033D" w:rsidRPr="0008583D" w:rsidRDefault="0084033D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15" w:type="dxa"/>
          </w:tcPr>
          <w:p w:rsidR="0084033D" w:rsidRPr="0008583D" w:rsidRDefault="0084033D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15" w:type="dxa"/>
          </w:tcPr>
          <w:p w:rsidR="0084033D" w:rsidRPr="0008583D" w:rsidRDefault="0084033D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15" w:type="dxa"/>
          </w:tcPr>
          <w:p w:rsidR="0084033D" w:rsidRPr="00CE36CD" w:rsidRDefault="00CE36CD" w:rsidP="00DD4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6CD">
              <w:rPr>
                <w:rFonts w:ascii="Times New Roman" w:eastAsia="Tahoma" w:hAnsi="Times New Roman" w:cs="Times New Roman"/>
                <w:sz w:val="18"/>
                <w:szCs w:val="18"/>
              </w:rPr>
              <w:t>Maksymalny czas naprawy gwarancyjnej po przekroczeniu, którego przedłuża się gwarancję o czas przerwy w eksploatacji – 5 dni roboczych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15" w:type="dxa"/>
          </w:tcPr>
          <w:p w:rsidR="0084033D" w:rsidRPr="0008583D" w:rsidRDefault="0084033D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7D27" w:rsidRPr="0008583D" w:rsidRDefault="00877D27">
      <w:pPr>
        <w:rPr>
          <w:rFonts w:ascii="Times New Roman" w:hAnsi="Times New Roman" w:cs="Times New Roman"/>
          <w:b/>
          <w:sz w:val="20"/>
          <w:szCs w:val="20"/>
        </w:rPr>
      </w:pPr>
    </w:p>
    <w:sectPr w:rsidR="00877D27" w:rsidRPr="0008583D" w:rsidSect="00877D2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E7" w:rsidRDefault="005973E7" w:rsidP="00267BEF">
      <w:pPr>
        <w:spacing w:after="0" w:line="240" w:lineRule="auto"/>
      </w:pPr>
      <w:r>
        <w:separator/>
      </w:r>
    </w:p>
  </w:endnote>
  <w:endnote w:type="continuationSeparator" w:id="0">
    <w:p w:rsidR="005973E7" w:rsidRDefault="005973E7" w:rsidP="0026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E7" w:rsidRDefault="005973E7" w:rsidP="00267BEF">
      <w:pPr>
        <w:spacing w:after="0" w:line="240" w:lineRule="auto"/>
      </w:pPr>
      <w:r>
        <w:separator/>
      </w:r>
    </w:p>
  </w:footnote>
  <w:footnote w:type="continuationSeparator" w:id="0">
    <w:p w:rsidR="005973E7" w:rsidRDefault="005973E7" w:rsidP="0026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13" w:rsidRDefault="00132C13" w:rsidP="00132C13">
    <w:pPr>
      <w:pStyle w:val="Nagwek"/>
    </w:pPr>
    <w:r>
      <w:rPr>
        <w:noProof/>
        <w:lang w:eastAsia="pl-PL"/>
      </w:rPr>
      <w:drawing>
        <wp:inline distT="0" distB="0" distL="0" distR="0">
          <wp:extent cx="6170295" cy="683895"/>
          <wp:effectExtent l="0" t="0" r="1905" b="1905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2C13" w:rsidRDefault="00132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27"/>
    <w:rsid w:val="00022B6B"/>
    <w:rsid w:val="00032D46"/>
    <w:rsid w:val="000751C6"/>
    <w:rsid w:val="0008583D"/>
    <w:rsid w:val="00122766"/>
    <w:rsid w:val="00132C13"/>
    <w:rsid w:val="00164E94"/>
    <w:rsid w:val="0024048B"/>
    <w:rsid w:val="00267BEF"/>
    <w:rsid w:val="002E423F"/>
    <w:rsid w:val="003437D2"/>
    <w:rsid w:val="003974E2"/>
    <w:rsid w:val="004E2A26"/>
    <w:rsid w:val="00583124"/>
    <w:rsid w:val="005973E7"/>
    <w:rsid w:val="00624B94"/>
    <w:rsid w:val="00695A0F"/>
    <w:rsid w:val="007463A9"/>
    <w:rsid w:val="00781902"/>
    <w:rsid w:val="007A06FB"/>
    <w:rsid w:val="0084033D"/>
    <w:rsid w:val="0084787E"/>
    <w:rsid w:val="00872D7F"/>
    <w:rsid w:val="00877D27"/>
    <w:rsid w:val="008934D3"/>
    <w:rsid w:val="00946B3E"/>
    <w:rsid w:val="0097231D"/>
    <w:rsid w:val="00986804"/>
    <w:rsid w:val="00AF776E"/>
    <w:rsid w:val="00CD5BFA"/>
    <w:rsid w:val="00CE36CD"/>
    <w:rsid w:val="00E53AAF"/>
    <w:rsid w:val="00F77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5D644"/>
  <w15:docId w15:val="{633C1656-C869-4BE6-9230-7B77F49D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8934D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BEF"/>
  </w:style>
  <w:style w:type="paragraph" w:styleId="Stopka">
    <w:name w:val="footer"/>
    <w:basedOn w:val="Normalny"/>
    <w:link w:val="StopkaZnak"/>
    <w:uiPriority w:val="99"/>
    <w:unhideWhenUsed/>
    <w:rsid w:val="0026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Katarzyna Jędrzejczak-Galewska</cp:lastModifiedBy>
  <cp:revision>2</cp:revision>
  <dcterms:created xsi:type="dcterms:W3CDTF">2021-05-28T14:09:00Z</dcterms:created>
  <dcterms:modified xsi:type="dcterms:W3CDTF">2021-05-28T14:09:00Z</dcterms:modified>
</cp:coreProperties>
</file>