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AC" w:rsidRDefault="00A038AC"/>
    <w:p w:rsidR="00A038AC" w:rsidRDefault="00A038AC"/>
    <w:tbl>
      <w:tblPr>
        <w:tblW w:w="1014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1"/>
        <w:gridCol w:w="7403"/>
        <w:gridCol w:w="588"/>
        <w:gridCol w:w="1201"/>
      </w:tblGrid>
      <w:tr w:rsidR="00A038AC" w:rsidRPr="00CB07C0" w:rsidTr="00CB07C0">
        <w:tc>
          <w:tcPr>
            <w:tcW w:w="8942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4"/>
              <w:widowControl/>
              <w:rPr>
                <w:sz w:val="18"/>
                <w:szCs w:val="18"/>
              </w:rPr>
            </w:pPr>
            <w:r w:rsidRPr="00CB07C0">
              <w:rPr>
                <w:rStyle w:val="FontStyle14"/>
                <w:sz w:val="18"/>
                <w:szCs w:val="18"/>
              </w:rPr>
              <w:t xml:space="preserve">System </w:t>
            </w:r>
            <w:r w:rsidRPr="00CB07C0">
              <w:rPr>
                <w:rStyle w:val="FontStyle14"/>
                <w:sz w:val="18"/>
                <w:szCs w:val="18"/>
                <w:lang w:val="en-US"/>
              </w:rPr>
              <w:t xml:space="preserve">audio-video </w:t>
            </w:r>
            <w:r w:rsidRPr="00CB07C0">
              <w:rPr>
                <w:rStyle w:val="FontStyle14"/>
                <w:sz w:val="18"/>
                <w:szCs w:val="18"/>
              </w:rPr>
              <w:t>do komunikacji z pacjentem w oddziałach zakaźnych</w:t>
            </w:r>
          </w:p>
          <w:p w:rsidR="00A038AC" w:rsidRPr="00CB07C0" w:rsidRDefault="00A038AC">
            <w:pPr>
              <w:pStyle w:val="Style4"/>
              <w:widowControl/>
              <w:rPr>
                <w:rStyle w:val="FontStyle14"/>
                <w:b w:val="0"/>
              </w:rPr>
            </w:pP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4"/>
              <w:widowControl/>
              <w:ind w:left="1656"/>
              <w:rPr>
                <w:rStyle w:val="FontStyle14"/>
                <w:b w:val="0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4"/>
              <w:widowControl/>
              <w:jc w:val="center"/>
              <w:rPr>
                <w:rStyle w:val="FontStyle14"/>
              </w:rPr>
            </w:pPr>
          </w:p>
          <w:p w:rsidR="00A038AC" w:rsidRPr="00CB07C0" w:rsidRDefault="004B43B2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br/>
              <w:t>Położenie RJ-45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Ilość gniazd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4"/>
              <w:widowControl/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Potwierdzenie/</w:t>
            </w:r>
          </w:p>
          <w:p w:rsidR="00A038AC" w:rsidRPr="00CB07C0" w:rsidRDefault="004B43B2">
            <w:pPr>
              <w:pStyle w:val="Style4"/>
              <w:widowControl/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Opis Wykonawcy</w:t>
            </w: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Pawilon C oddział CP (4 izolatki, 11 </w:t>
            </w:r>
            <w:proofErr w:type="spellStart"/>
            <w:r w:rsidRPr="00CB07C0">
              <w:rPr>
                <w:rStyle w:val="FontStyle13"/>
              </w:rPr>
              <w:t>sal</w:t>
            </w:r>
            <w:proofErr w:type="spellEnd"/>
            <w:r w:rsidRPr="00CB07C0">
              <w:rPr>
                <w:rStyle w:val="FontStyle13"/>
              </w:rPr>
              <w:t xml:space="preserve"> chorych, pkt. piel., pokój lek.)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Pawilon C oddział CI (8 Izolatek, 2x pkt. piel., pokój lek.)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3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Pawilon C oddział CII (8 Izolatek, 2x pkt. piel., pokój lek.)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4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Pawilon E oddział E (6 Izolatki, pkt. piel., pokój lek.)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5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Pawilon F oddział F (4 izolatki, 6 </w:t>
            </w:r>
            <w:proofErr w:type="spellStart"/>
            <w:r w:rsidRPr="00CB07C0">
              <w:rPr>
                <w:rStyle w:val="FontStyle13"/>
              </w:rPr>
              <w:t>sal</w:t>
            </w:r>
            <w:proofErr w:type="spellEnd"/>
            <w:r w:rsidRPr="00CB07C0">
              <w:rPr>
                <w:rStyle w:val="FontStyle13"/>
              </w:rPr>
              <w:t xml:space="preserve"> chorych, pkt. piel., pokój lek.) + szafa o max. wysokości 19U </w:t>
            </w:r>
            <w:r w:rsidR="00CB07C0">
              <w:rPr>
                <w:rStyle w:val="FontStyle13"/>
              </w:rPr>
              <w:br/>
            </w:r>
            <w:r w:rsidRPr="00CB07C0">
              <w:rPr>
                <w:rStyle w:val="FontStyle13"/>
              </w:rPr>
              <w:t>i głębokości min. 60cm. wraz z przełożeniem do nowej szafy istniejących zakończeń punktów logicznych w ilości ok. 60.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Szafa powinna zostać oznakowana zgodnie z procedurami BHP ponieważ znajduje się w ciągu komunikacyjnym.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6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Pawilon F oddział OIT IZO (piel., pokój lek.)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7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Budowa sieci LAN STP, kat.6, skrętka ekranowana, w osłonce p.poż. Przepusty w pionach i wejścia </w:t>
            </w:r>
            <w:r w:rsidR="00CB07C0">
              <w:rPr>
                <w:rStyle w:val="FontStyle13"/>
              </w:rPr>
              <w:br/>
            </w:r>
            <w:r w:rsidRPr="00CB07C0">
              <w:rPr>
                <w:rStyle w:val="FontStyle13"/>
              </w:rPr>
              <w:t xml:space="preserve">do </w:t>
            </w:r>
            <w:proofErr w:type="spellStart"/>
            <w:r w:rsidRPr="00CB07C0">
              <w:rPr>
                <w:rStyle w:val="FontStyle13"/>
              </w:rPr>
              <w:t>sal</w:t>
            </w:r>
            <w:proofErr w:type="spellEnd"/>
            <w:r w:rsidRPr="00CB07C0">
              <w:rPr>
                <w:rStyle w:val="FontStyle13"/>
              </w:rPr>
              <w:t xml:space="preserve"> chorych mają zostać uszczelnione co najmniej masą ogniotrwałą.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sz w:val="16"/>
                <w:szCs w:val="16"/>
              </w:rPr>
              <w:t>8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Licencja KX-NSX930 (licencja zwiększająca pojemność systemu IPPABX)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sz w:val="16"/>
                <w:szCs w:val="16"/>
              </w:rPr>
              <w:t>1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sz w:val="16"/>
                <w:szCs w:val="16"/>
              </w:rPr>
              <w:t>9</w:t>
            </w: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sz w:val="16"/>
                <w:szCs w:val="16"/>
              </w:rPr>
            </w:pPr>
            <w:r w:rsidRPr="00CB07C0">
              <w:rPr>
                <w:sz w:val="16"/>
                <w:szCs w:val="16"/>
              </w:rPr>
              <w:t xml:space="preserve">Licencja KX-NSM720 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sz w:val="16"/>
                <w:szCs w:val="16"/>
              </w:rPr>
              <w:t>3</w:t>
            </w:r>
          </w:p>
        </w:tc>
        <w:tc>
          <w:tcPr>
            <w:tcW w:w="1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10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Wykonawca dostarcza wszelkie elementy niezbędne do uruchomienia systemu komunikacji z pacjentem, wykona sieć LAN, zamontuje przełączniki we wskazanych szafach (Zamawiający ma miejsce na zamawiane przełączniki w szafie dla Pawilonu C i E), konfiguracji dostarczonych przełączników dokona Zamawiający.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Miejsce wykonania punktu logicznego w salach chorych wskazane jest na załączonych planach). Pawilon C i E posiada szafę wysokości 42U, po jednej w każdym z pawilonów. 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Wykonawca do wyliczenia kosztu punktu logicznego powinien założyć maksymalną dopuszczona standardami długość drogi.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Wykonawca zamontuje aparaty telefoniczne we wskazanych przez Szpital miejscach,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Zamawiający wytyczne do konfiguracji przekaże Wykonawcy na etapie wykonania prac.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rPr>
          <w:trHeight w:val="278"/>
        </w:trPr>
        <w:tc>
          <w:tcPr>
            <w:tcW w:w="8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ind w:left="7723"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Razem: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61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89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rPr>
                <w:sz w:val="16"/>
                <w:szCs w:val="16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4"/>
              <w:widowControl/>
              <w:jc w:val="center"/>
              <w:rPr>
                <w:b/>
                <w:sz w:val="16"/>
                <w:szCs w:val="16"/>
              </w:rPr>
            </w:pPr>
            <w:r w:rsidRPr="00CB07C0">
              <w:rPr>
                <w:sz w:val="16"/>
                <w:szCs w:val="16"/>
              </w:rPr>
              <w:br/>
            </w:r>
            <w:r w:rsidRPr="00CB07C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4"/>
              <w:widowControl/>
              <w:jc w:val="center"/>
              <w:rPr>
                <w:rStyle w:val="FontStyle14"/>
              </w:rPr>
            </w:pPr>
          </w:p>
          <w:p w:rsidR="00A038AC" w:rsidRPr="00CB07C0" w:rsidRDefault="004B43B2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Przełącznik dostępowy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Ilość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4"/>
              <w:widowControl/>
              <w:tabs>
                <w:tab w:val="left" w:pos="375"/>
              </w:tabs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Potwierdzenie/</w:t>
            </w:r>
          </w:p>
          <w:p w:rsidR="00A038AC" w:rsidRPr="00CB07C0" w:rsidRDefault="004B43B2">
            <w:pPr>
              <w:pStyle w:val="Style4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4"/>
              </w:rPr>
              <w:t>Opis Wykonawcy</w:t>
            </w:r>
          </w:p>
        </w:tc>
      </w:tr>
      <w:tr w:rsidR="00A038AC" w:rsidRPr="00CB07C0" w:rsidTr="00CB07C0">
        <w:trPr>
          <w:trHeight w:val="178"/>
        </w:trPr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widowControl/>
              <w:rPr>
                <w:rStyle w:val="FontStyle14"/>
              </w:rPr>
            </w:pPr>
          </w:p>
        </w:tc>
        <w:tc>
          <w:tcPr>
            <w:tcW w:w="7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widowControl/>
              <w:rPr>
                <w:rStyle w:val="FontStyle14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jc w:val="center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Typ i liczba portów:</w:t>
            </w:r>
          </w:p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24 porty 10/100/1000BaseT RJ-45 </w:t>
            </w:r>
            <w:proofErr w:type="spellStart"/>
            <w:r w:rsidRPr="00CB07C0">
              <w:rPr>
                <w:rStyle w:val="FontStyle13"/>
              </w:rPr>
              <w:t>PoE</w:t>
            </w:r>
            <w:proofErr w:type="spellEnd"/>
            <w:r w:rsidRPr="00CB07C0">
              <w:rPr>
                <w:rStyle w:val="FontStyle13"/>
              </w:rPr>
              <w:t xml:space="preserve">+ (zgodne z IEEE 802.3at) + </w:t>
            </w:r>
            <w:proofErr w:type="spellStart"/>
            <w:r w:rsidRPr="00CB07C0">
              <w:rPr>
                <w:rStyle w:val="FontStyle13"/>
              </w:rPr>
              <w:t>uplink</w:t>
            </w:r>
            <w:proofErr w:type="spellEnd"/>
            <w:r w:rsidRPr="00CB07C0">
              <w:rPr>
                <w:rStyle w:val="FontStyle13"/>
              </w:rPr>
              <w:t xml:space="preserve"> 4x10G SFP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Moc dostępna dla </w:t>
            </w:r>
            <w:proofErr w:type="spellStart"/>
            <w:r w:rsidRPr="00CB07C0">
              <w:rPr>
                <w:rStyle w:val="FontStyle13"/>
              </w:rPr>
              <w:t>PoE</w:t>
            </w:r>
            <w:proofErr w:type="spellEnd"/>
            <w:r w:rsidRPr="00CB07C0">
              <w:rPr>
                <w:rStyle w:val="FontStyle13"/>
              </w:rPr>
              <w:t>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370W (z jednym zasilaczem o mocy 600W),</w:t>
            </w:r>
          </w:p>
          <w:p w:rsidR="00A038AC" w:rsidRDefault="004B43B2">
            <w:pPr>
              <w:pStyle w:val="Style1"/>
              <w:widowControl/>
              <w:spacing w:line="192" w:lineRule="exact"/>
              <w:ind w:right="1944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370W (z dwoma zasilaczami o mocy 600W pracującymi w układzie redundantnym), 740W (z dwoma zasilaczami o mocy 600W pracującymi w układzie </w:t>
            </w:r>
            <w:r w:rsidR="00CB07C0">
              <w:rPr>
                <w:rStyle w:val="FontStyle13"/>
              </w:rPr>
              <w:t>współdzielenia mocy)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ind w:right="1944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3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ind w:right="3250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Porty SFP/SFP+ możliwe do obsadzenia następującymi rodzajami wkładek: Gigabit Ethernet 1000Base-T, Gigabit Ethernet 1000Base-SX, Gigabit Ethernet 1000Base-LX/LH, Gigabit Ethernet 1000Base-EX, Gigabit Ethernet 1000Base-ZX, Gigabit Ethernet 1000Base-BX-D/U, 10Gigabit Ethernet 10GBase-SR, 10Gigabit Ethernet 10GBase-LR, 10Gigabit Ethernet 10GBase-ER, 10Gigabit Ethernet 10GBase-ZR, 10Gigabit Ethernet typu </w:t>
            </w:r>
            <w:r w:rsidRPr="00CB07C0">
              <w:rPr>
                <w:rStyle w:val="FontStyle13"/>
                <w:lang w:val="fr-FR"/>
              </w:rPr>
              <w:t xml:space="preserve">twinax, </w:t>
            </w:r>
            <w:r w:rsidRPr="00CB07C0">
              <w:rPr>
                <w:rStyle w:val="FontStyle13"/>
              </w:rPr>
              <w:t>DAC (SFP+ - SFP+)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ind w:right="3250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ind w:right="3250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4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Możliwość </w:t>
            </w:r>
            <w:proofErr w:type="spellStart"/>
            <w:r w:rsidRPr="00CB07C0">
              <w:rPr>
                <w:rStyle w:val="FontStyle13"/>
              </w:rPr>
              <w:t>stackowania</w:t>
            </w:r>
            <w:proofErr w:type="spellEnd"/>
            <w:r w:rsidRPr="00CB07C0">
              <w:rPr>
                <w:rStyle w:val="FontStyle13"/>
              </w:rPr>
              <w:t xml:space="preserve"> przełączników z zapewnieniem następujących funkcjonalności: Przepustowość </w:t>
            </w:r>
            <w:r w:rsidR="00CB07C0">
              <w:rPr>
                <w:rStyle w:val="FontStyle13"/>
              </w:rPr>
              <w:br/>
            </w:r>
            <w:r w:rsidRPr="00CB07C0">
              <w:rPr>
                <w:rStyle w:val="FontStyle13"/>
              </w:rPr>
              <w:t xml:space="preserve">w ramach stosu - 80Gb/s, 8 urządzeń w stosie, Zarządzanie poprzez jeden adres </w:t>
            </w:r>
            <w:r w:rsidRPr="00CB07C0">
              <w:rPr>
                <w:rStyle w:val="FontStyle13"/>
                <w:lang w:val="it-IT"/>
              </w:rPr>
              <w:t>IP,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lastRenderedPageBreak/>
              <w:t>Możliwość tworzenia połączeń cross-</w:t>
            </w:r>
            <w:proofErr w:type="spellStart"/>
            <w:r w:rsidRPr="00CB07C0">
              <w:rPr>
                <w:rStyle w:val="FontStyle13"/>
              </w:rPr>
              <w:t>stack</w:t>
            </w:r>
            <w:proofErr w:type="spellEnd"/>
            <w:r w:rsidRPr="00CB07C0">
              <w:rPr>
                <w:rStyle w:val="FontStyle13"/>
              </w:rPr>
              <w:t xml:space="preserve"> Link </w:t>
            </w:r>
            <w:proofErr w:type="spellStart"/>
            <w:r w:rsidRPr="00CB07C0">
              <w:rPr>
                <w:rStyle w:val="FontStyle13"/>
              </w:rPr>
              <w:t>Aggregation</w:t>
            </w:r>
            <w:proofErr w:type="spellEnd"/>
            <w:r w:rsidRPr="00CB07C0">
              <w:rPr>
                <w:rStyle w:val="FontStyle13"/>
              </w:rPr>
              <w:t xml:space="preserve"> (czyli dla portów należących do różnych jednostek w stosie) zgodnie z IEEE 802.3ad,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lastRenderedPageBreak/>
              <w:t>5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Zasilanie i chłodzenie: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Możliwość instalacji zasilacza redundantnego </w:t>
            </w:r>
            <w:r w:rsidRPr="00CB07C0">
              <w:rPr>
                <w:rStyle w:val="FontStyle13"/>
                <w:lang w:val="it-IT"/>
              </w:rPr>
              <w:t xml:space="preserve">AC 230V. </w:t>
            </w:r>
            <w:r w:rsidRPr="00CB07C0">
              <w:rPr>
                <w:rStyle w:val="FontStyle13"/>
              </w:rPr>
              <w:t xml:space="preserve">Zasilacze wymienne (możliwość instalacji/wymiany „na gorąco" - ang. hot </w:t>
            </w:r>
            <w:proofErr w:type="spellStart"/>
            <w:r w:rsidRPr="00CB07C0">
              <w:rPr>
                <w:rStyle w:val="FontStyle13"/>
              </w:rPr>
              <w:t>swap</w:t>
            </w:r>
            <w:proofErr w:type="spellEnd"/>
            <w:r w:rsidRPr="00CB07C0">
              <w:rPr>
                <w:rStyle w:val="FontStyle13"/>
              </w:rPr>
              <w:t>),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Przełącznik umożliwia podtrzymanie zasilania z portów </w:t>
            </w:r>
            <w:proofErr w:type="spellStart"/>
            <w:r w:rsidRPr="00CB07C0">
              <w:rPr>
                <w:rStyle w:val="FontStyle13"/>
              </w:rPr>
              <w:t>PoE</w:t>
            </w:r>
            <w:proofErr w:type="spellEnd"/>
            <w:r w:rsidRPr="00CB07C0">
              <w:rPr>
                <w:rStyle w:val="FontStyle13"/>
              </w:rPr>
              <w:t xml:space="preserve"> podczas restartu urządzenia, Redundantne wentylatory,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6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Parametry wydajnościowe: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Przepustowość przełącznika (</w:t>
            </w:r>
            <w:proofErr w:type="spellStart"/>
            <w:r w:rsidRPr="00CB07C0">
              <w:rPr>
                <w:rStyle w:val="FontStyle13"/>
              </w:rPr>
              <w:t>switching</w:t>
            </w:r>
            <w:proofErr w:type="spellEnd"/>
            <w:r w:rsidRPr="00CB07C0">
              <w:rPr>
                <w:rStyle w:val="FontStyle13"/>
              </w:rPr>
              <w:t xml:space="preserve"> </w:t>
            </w:r>
            <w:proofErr w:type="spellStart"/>
            <w:r w:rsidRPr="00CB07C0">
              <w:rPr>
                <w:rStyle w:val="FontStyle13"/>
              </w:rPr>
              <w:t>capacity</w:t>
            </w:r>
            <w:proofErr w:type="spellEnd"/>
            <w:r w:rsidRPr="00CB07C0">
              <w:rPr>
                <w:rStyle w:val="FontStyle13"/>
              </w:rPr>
              <w:t>):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ind w:right="2218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128 </w:t>
            </w:r>
            <w:proofErr w:type="spellStart"/>
            <w:r w:rsidRPr="00CB07C0">
              <w:rPr>
                <w:rStyle w:val="FontStyle13"/>
              </w:rPr>
              <w:t>Gb</w:t>
            </w:r>
            <w:proofErr w:type="spellEnd"/>
            <w:r w:rsidRPr="00CB07C0">
              <w:rPr>
                <w:rStyle w:val="FontStyle13"/>
              </w:rPr>
              <w:t xml:space="preserve">/s (bez podłączenia do stosu), 208 </w:t>
            </w:r>
            <w:proofErr w:type="spellStart"/>
            <w:r w:rsidRPr="00CB07C0">
              <w:rPr>
                <w:rStyle w:val="FontStyle13"/>
              </w:rPr>
              <w:t>Gb</w:t>
            </w:r>
            <w:proofErr w:type="spellEnd"/>
            <w:r w:rsidRPr="00CB07C0">
              <w:rPr>
                <w:rStyle w:val="FontStyle13"/>
              </w:rPr>
              <w:t>/s (z podłączeniem do stosu) Prędkość przesyłania (</w:t>
            </w:r>
            <w:proofErr w:type="spellStart"/>
            <w:r w:rsidRPr="00CB07C0">
              <w:rPr>
                <w:rStyle w:val="FontStyle13"/>
              </w:rPr>
              <w:t>forwarding</w:t>
            </w:r>
            <w:proofErr w:type="spellEnd"/>
            <w:r w:rsidRPr="00CB07C0">
              <w:rPr>
                <w:rStyle w:val="FontStyle13"/>
              </w:rPr>
              <w:t xml:space="preserve"> </w:t>
            </w:r>
            <w:proofErr w:type="spellStart"/>
            <w:r w:rsidRPr="00CB07C0">
              <w:rPr>
                <w:rStyle w:val="FontStyle13"/>
              </w:rPr>
              <w:t>rate</w:t>
            </w:r>
            <w:proofErr w:type="spellEnd"/>
            <w:r w:rsidRPr="00CB07C0">
              <w:rPr>
                <w:rStyle w:val="FontStyle13"/>
              </w:rPr>
              <w:t xml:space="preserve">): 95.23 </w:t>
            </w:r>
            <w:proofErr w:type="spellStart"/>
            <w:r w:rsidRPr="00CB07C0">
              <w:rPr>
                <w:rStyle w:val="FontStyle13"/>
              </w:rPr>
              <w:t>Mpps</w:t>
            </w:r>
            <w:proofErr w:type="spellEnd"/>
          </w:p>
          <w:p w:rsidR="00A038AC" w:rsidRPr="00CB07C0" w:rsidRDefault="004B43B2">
            <w:pPr>
              <w:pStyle w:val="Style1"/>
              <w:widowControl/>
              <w:spacing w:line="192" w:lineRule="exact"/>
              <w:ind w:right="2218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Bufor pakietów - min. 6MB Pamięć DRAM - min. 2GB Pamięć </w:t>
            </w:r>
            <w:proofErr w:type="spellStart"/>
            <w:r w:rsidRPr="00CB07C0">
              <w:rPr>
                <w:rStyle w:val="FontStyle13"/>
              </w:rPr>
              <w:t>flash</w:t>
            </w:r>
            <w:proofErr w:type="spellEnd"/>
            <w:r w:rsidRPr="00CB07C0">
              <w:rPr>
                <w:rStyle w:val="FontStyle13"/>
              </w:rPr>
              <w:t xml:space="preserve"> - min. 4GB Obsługa: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ind w:right="2218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500 aktywnych sieci </w:t>
            </w:r>
            <w:r w:rsidRPr="00CB07C0">
              <w:rPr>
                <w:rStyle w:val="FontStyle13"/>
                <w:lang w:val="fr-FR"/>
              </w:rPr>
              <w:t xml:space="preserve">VLAN 16000 </w:t>
            </w:r>
            <w:r w:rsidRPr="00CB07C0">
              <w:rPr>
                <w:rStyle w:val="FontStyle13"/>
              </w:rPr>
              <w:t xml:space="preserve">adresów </w:t>
            </w:r>
            <w:r w:rsidRPr="00CB07C0">
              <w:rPr>
                <w:rStyle w:val="FontStyle13"/>
                <w:lang w:val="fr-FR"/>
              </w:rPr>
              <w:t xml:space="preserve">MAC </w:t>
            </w:r>
            <w:r w:rsidRPr="00CB07C0">
              <w:rPr>
                <w:rStyle w:val="FontStyle13"/>
              </w:rPr>
              <w:t>3000 tras IPv4 1500 tras IPv6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ind w:right="2218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Ilość wpisów w listach kontroli dostępu Security ACL - 1000 ilość wpisów w listach kontroli dostępu </w:t>
            </w:r>
            <w:proofErr w:type="spellStart"/>
            <w:r w:rsidRPr="00CB07C0">
              <w:rPr>
                <w:rStyle w:val="FontStyle13"/>
              </w:rPr>
              <w:t>QoS</w:t>
            </w:r>
            <w:proofErr w:type="spellEnd"/>
            <w:r w:rsidRPr="00CB07C0">
              <w:rPr>
                <w:rStyle w:val="FontStyle13"/>
              </w:rPr>
              <w:t xml:space="preserve"> </w:t>
            </w:r>
            <w:proofErr w:type="spellStart"/>
            <w:r w:rsidRPr="00CB07C0">
              <w:rPr>
                <w:rStyle w:val="FontStyle12"/>
              </w:rPr>
              <w:t>aCl</w:t>
            </w:r>
            <w:proofErr w:type="spellEnd"/>
            <w:r w:rsidRPr="00CB07C0">
              <w:rPr>
                <w:rStyle w:val="FontStyle12"/>
              </w:rPr>
              <w:t xml:space="preserve"> </w:t>
            </w:r>
            <w:r w:rsidRPr="00CB07C0">
              <w:rPr>
                <w:rStyle w:val="FontStyle13"/>
              </w:rPr>
              <w:t xml:space="preserve">- 1000 512 interfejsów SVI L3 Jumbo </w:t>
            </w:r>
            <w:proofErr w:type="spellStart"/>
            <w:r w:rsidRPr="00CB07C0">
              <w:rPr>
                <w:rStyle w:val="FontStyle13"/>
              </w:rPr>
              <w:t>frame</w:t>
            </w:r>
            <w:proofErr w:type="spellEnd"/>
            <w:r w:rsidRPr="00CB07C0">
              <w:rPr>
                <w:rStyle w:val="FontStyle13"/>
              </w:rPr>
              <w:t xml:space="preserve"> 9198B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48 połączeń zagregowanych typu „port channel"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16 linków w ramach jednego połączenia zagregowanego typu „port channel" LACP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7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Obsługa protokołu NTP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8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  <w:lang w:val="en-US"/>
              </w:rPr>
            </w:pPr>
            <w:r w:rsidRPr="00CB07C0">
              <w:rPr>
                <w:rStyle w:val="FontStyle13"/>
              </w:rPr>
              <w:t xml:space="preserve">Obsługa IGMPv1/2/3 i MLDv1/2 </w:t>
            </w:r>
            <w:r w:rsidRPr="00CB07C0">
              <w:rPr>
                <w:rStyle w:val="FontStyle13"/>
                <w:lang w:val="en-US"/>
              </w:rPr>
              <w:t>Snooping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9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ind w:right="1838"/>
              <w:rPr>
                <w:rStyle w:val="FontStyle13"/>
                <w:lang w:val="en-US"/>
              </w:rPr>
            </w:pPr>
            <w:r w:rsidRPr="00CB07C0">
              <w:rPr>
                <w:rStyle w:val="FontStyle13"/>
              </w:rPr>
              <w:t xml:space="preserve">Przełącznik wspiera następujące mechanizmy związane z zapewnieniem ciągłości pracy sieci: </w:t>
            </w:r>
            <w:r w:rsidRPr="00CB07C0">
              <w:rPr>
                <w:rStyle w:val="FontStyle13"/>
                <w:lang w:val="en-US"/>
              </w:rPr>
              <w:t xml:space="preserve">IEEE </w:t>
            </w:r>
            <w:r w:rsidRPr="00CB07C0">
              <w:rPr>
                <w:rStyle w:val="FontStyle13"/>
              </w:rPr>
              <w:t xml:space="preserve">802.1w </w:t>
            </w:r>
            <w:r w:rsidRPr="00CB07C0">
              <w:rPr>
                <w:rStyle w:val="FontStyle13"/>
                <w:lang w:val="en-US"/>
              </w:rPr>
              <w:t xml:space="preserve">Rapid Spanning Tree Per-VLAN Rapid Spanning Tree (PVRST+) IEEE 802.1s Multi-Instance Spanning Tree </w:t>
            </w:r>
            <w:r w:rsidRPr="00CB07C0">
              <w:rPr>
                <w:rStyle w:val="FontStyle13"/>
              </w:rPr>
              <w:t xml:space="preserve">Obsługa 64 instancji protokołu </w:t>
            </w:r>
            <w:r w:rsidRPr="00CB07C0">
              <w:rPr>
                <w:rStyle w:val="FontStyle13"/>
                <w:lang w:val="en-US"/>
              </w:rPr>
              <w:t>STP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ind w:right="1838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ind w:right="1838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10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Obsługa protokołu LLDP i LLDP-MED.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11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Funkcjonalność </w:t>
            </w:r>
            <w:r w:rsidRPr="00CB07C0">
              <w:rPr>
                <w:rStyle w:val="FontStyle13"/>
                <w:lang w:val="en-US"/>
              </w:rPr>
              <w:t xml:space="preserve">Layer </w:t>
            </w:r>
            <w:r w:rsidRPr="00CB07C0">
              <w:rPr>
                <w:rStyle w:val="FontStyle13"/>
              </w:rPr>
              <w:t xml:space="preserve">2 </w:t>
            </w:r>
            <w:proofErr w:type="spellStart"/>
            <w:r w:rsidRPr="00CB07C0">
              <w:rPr>
                <w:rStyle w:val="FontStyle13"/>
              </w:rPr>
              <w:t>traceroute</w:t>
            </w:r>
            <w:proofErr w:type="spellEnd"/>
            <w:r w:rsidRPr="00CB07C0">
              <w:rPr>
                <w:rStyle w:val="FontStyle13"/>
              </w:rPr>
              <w:t xml:space="preserve"> umożliwiająca śledzenie fizycznej trasy pakietu o zadanym źródłowym </w:t>
            </w:r>
            <w:r w:rsidR="00CB07C0">
              <w:rPr>
                <w:rStyle w:val="FontStyle13"/>
              </w:rPr>
              <w:br/>
            </w:r>
            <w:r w:rsidRPr="00CB07C0">
              <w:rPr>
                <w:rStyle w:val="FontStyle13"/>
              </w:rPr>
              <w:t>i docelowym adresie MAC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12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Obsługa funkcji </w:t>
            </w:r>
            <w:r w:rsidRPr="00CB07C0">
              <w:rPr>
                <w:rStyle w:val="FontStyle13"/>
                <w:lang w:val="fr-FR"/>
              </w:rPr>
              <w:t xml:space="preserve">Voice VLAN </w:t>
            </w:r>
            <w:r w:rsidRPr="00CB07C0">
              <w:rPr>
                <w:rStyle w:val="FontStyle13"/>
              </w:rPr>
              <w:t>umożliwiającej odseparowanie ruchu danych i ruchu głosowego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13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  <w:lang w:val="fr-FR"/>
              </w:rPr>
            </w:pPr>
            <w:r w:rsidRPr="00CB07C0">
              <w:rPr>
                <w:rStyle w:val="FontStyle13"/>
              </w:rPr>
              <w:t xml:space="preserve">Możliwość uruchomienia funkcji serwera </w:t>
            </w:r>
            <w:r w:rsidRPr="00CB07C0">
              <w:rPr>
                <w:rStyle w:val="FontStyle13"/>
                <w:lang w:val="fr-FR"/>
              </w:rPr>
              <w:t>DHCP</w:t>
            </w:r>
          </w:p>
          <w:p w:rsidR="00CB07C0" w:rsidRPr="00CB07C0" w:rsidRDefault="00CB07C0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14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Mechanizmy związane z bezpieczeństwem sieci: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Wiele poziomów dostępu administracyjnego poprzez konsolę. Przełącznik umożliwia zalogowanie się administratora z konkretnym poziomem dostępu zgodnie z odpowiedzą serwera autoryzacji </w:t>
            </w:r>
            <w:r w:rsidRPr="00CB07C0">
              <w:rPr>
                <w:rStyle w:val="FontStyle13"/>
                <w:lang w:val="en-US"/>
              </w:rPr>
              <w:t>(privilege-level),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Autoryzacja użytkowników w oparciu o </w:t>
            </w:r>
            <w:r w:rsidRPr="00CB07C0">
              <w:rPr>
                <w:rStyle w:val="FontStyle13"/>
                <w:lang w:val="en-US"/>
              </w:rPr>
              <w:t xml:space="preserve">IEEE 802.1X </w:t>
            </w:r>
            <w:r w:rsidRPr="00CB07C0">
              <w:rPr>
                <w:rStyle w:val="FontStyle13"/>
              </w:rPr>
              <w:t>z możliwością dynamicznego przypisania użytkownika do określonej sieci VLAN,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Autoryzacja użytkowników w oparciu o </w:t>
            </w:r>
            <w:r w:rsidRPr="00CB07C0">
              <w:rPr>
                <w:rStyle w:val="FontStyle13"/>
                <w:lang w:val="en-US"/>
              </w:rPr>
              <w:t xml:space="preserve">IEEE 802.1X </w:t>
            </w:r>
            <w:r w:rsidRPr="00CB07C0">
              <w:rPr>
                <w:rStyle w:val="FontStyle13"/>
              </w:rPr>
              <w:t xml:space="preserve">z możliwością dynamicznego przypisania listy ACL, Obsługa funkcji </w:t>
            </w:r>
            <w:proofErr w:type="spellStart"/>
            <w:r w:rsidRPr="00CB07C0">
              <w:rPr>
                <w:rStyle w:val="FontStyle13"/>
              </w:rPr>
              <w:t>Guest</w:t>
            </w:r>
            <w:proofErr w:type="spellEnd"/>
            <w:r w:rsidRPr="00CB07C0">
              <w:rPr>
                <w:rStyle w:val="FontStyle13"/>
              </w:rPr>
              <w:t xml:space="preserve"> VLAN umożliwiająca uzyskanie gościnnego dostępu do sieci dla użytkowników bez suplikanta </w:t>
            </w:r>
            <w:r w:rsidRPr="00CB07C0">
              <w:rPr>
                <w:rStyle w:val="FontStyle13"/>
                <w:lang w:val="en-US"/>
              </w:rPr>
              <w:t>802.1X,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Możliwość uwierzytelniania urządzeń na porcie w oparciu o adres MAC,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Możliwość uwierzytelniania użytkowników w oparciu o portal www dla klientów bez suplikanta 802.1X, Możliwość uwierzytelniania wielu użytkowników na jednym porcie oraz możliwość jednoczesnego uwierzytelniania na porcie telefonu IP i komputera PC podłączonego za telefonem,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Możliwość obsługi żądań </w:t>
            </w:r>
            <w:r w:rsidRPr="00CB07C0">
              <w:rPr>
                <w:rStyle w:val="FontStyle13"/>
                <w:lang w:val="en-US"/>
              </w:rPr>
              <w:t xml:space="preserve">Change of Authorization </w:t>
            </w:r>
            <w:r w:rsidRPr="00CB07C0">
              <w:rPr>
                <w:rStyle w:val="FontStyle13"/>
              </w:rPr>
              <w:t>(</w:t>
            </w:r>
            <w:proofErr w:type="spellStart"/>
            <w:r w:rsidRPr="00CB07C0">
              <w:rPr>
                <w:rStyle w:val="FontStyle13"/>
              </w:rPr>
              <w:t>CoA</w:t>
            </w:r>
            <w:proofErr w:type="spellEnd"/>
            <w:r w:rsidRPr="00CB07C0">
              <w:rPr>
                <w:rStyle w:val="FontStyle13"/>
              </w:rPr>
              <w:t xml:space="preserve">) zgodnie z </w:t>
            </w:r>
            <w:r w:rsidRPr="00CB07C0">
              <w:rPr>
                <w:rStyle w:val="FontStyle13"/>
                <w:lang w:val="en-US"/>
              </w:rPr>
              <w:t xml:space="preserve">RFC </w:t>
            </w:r>
            <w:r w:rsidRPr="00CB07C0">
              <w:rPr>
                <w:rStyle w:val="FontStyle13"/>
              </w:rPr>
              <w:t>5176,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Funkcjonalność </w:t>
            </w:r>
            <w:r w:rsidRPr="00CB07C0">
              <w:rPr>
                <w:rStyle w:val="FontStyle13"/>
                <w:lang w:val="en-US"/>
              </w:rPr>
              <w:t xml:space="preserve">flexible authentication </w:t>
            </w:r>
            <w:r w:rsidRPr="00CB07C0">
              <w:rPr>
                <w:rStyle w:val="FontStyle13"/>
              </w:rPr>
              <w:t>(możliwość wyboru kolejności uwierzytelniania - 802.1X/uwierzytelnianie w</w:t>
            </w:r>
            <w:r w:rsidR="00CB07C0">
              <w:rPr>
                <w:sz w:val="16"/>
                <w:szCs w:val="16"/>
              </w:rPr>
              <w:t xml:space="preserve"> </w:t>
            </w:r>
            <w:r w:rsidRPr="00CB07C0">
              <w:rPr>
                <w:rStyle w:val="FontStyle13"/>
              </w:rPr>
              <w:t>oparciu o MAC adres/uwierzytelnianie oparciu o portal www),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Obsługa funkcji Port Security, DHCP </w:t>
            </w:r>
            <w:proofErr w:type="spellStart"/>
            <w:r w:rsidRPr="00CB07C0">
              <w:rPr>
                <w:rStyle w:val="FontStyle13"/>
              </w:rPr>
              <w:t>Snooping</w:t>
            </w:r>
            <w:proofErr w:type="spellEnd"/>
            <w:r w:rsidRPr="00CB07C0">
              <w:rPr>
                <w:rStyle w:val="FontStyle13"/>
              </w:rPr>
              <w:t xml:space="preserve">, </w:t>
            </w:r>
            <w:proofErr w:type="spellStart"/>
            <w:r w:rsidRPr="00CB07C0">
              <w:rPr>
                <w:rStyle w:val="FontStyle13"/>
              </w:rPr>
              <w:t>Dynamic</w:t>
            </w:r>
            <w:proofErr w:type="spellEnd"/>
            <w:r w:rsidRPr="00CB07C0">
              <w:rPr>
                <w:rStyle w:val="FontStyle13"/>
              </w:rPr>
              <w:t xml:space="preserve"> ARP </w:t>
            </w:r>
            <w:proofErr w:type="spellStart"/>
            <w:r w:rsidRPr="00CB07C0">
              <w:rPr>
                <w:rStyle w:val="FontStyle13"/>
              </w:rPr>
              <w:t>Inspection</w:t>
            </w:r>
            <w:proofErr w:type="spellEnd"/>
            <w:r w:rsidRPr="00CB07C0">
              <w:rPr>
                <w:rStyle w:val="FontStyle13"/>
              </w:rPr>
              <w:t xml:space="preserve"> i IP Source </w:t>
            </w:r>
            <w:proofErr w:type="spellStart"/>
            <w:r w:rsidRPr="00CB07C0">
              <w:rPr>
                <w:rStyle w:val="FontStyle13"/>
              </w:rPr>
              <w:t>Guard</w:t>
            </w:r>
            <w:proofErr w:type="spellEnd"/>
            <w:r w:rsidRPr="00CB07C0">
              <w:rPr>
                <w:rStyle w:val="FontStyle13"/>
              </w:rPr>
              <w:t>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Zapewnienie podstawowych mechanizmów bezpieczeństwa IPv6 na brzegu sieci (IPv6 FHS) - w tym minimum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ochronę przed rozgłaszaniem fałszywych komunikatów Router </w:t>
            </w:r>
            <w:proofErr w:type="spellStart"/>
            <w:r w:rsidRPr="00CB07C0">
              <w:rPr>
                <w:rStyle w:val="FontStyle13"/>
              </w:rPr>
              <w:t>Advertisement</w:t>
            </w:r>
            <w:proofErr w:type="spellEnd"/>
            <w:r w:rsidRPr="00CB07C0">
              <w:rPr>
                <w:rStyle w:val="FontStyle13"/>
              </w:rPr>
              <w:t xml:space="preserve"> (RA </w:t>
            </w:r>
            <w:proofErr w:type="spellStart"/>
            <w:r w:rsidRPr="00CB07C0">
              <w:rPr>
                <w:rStyle w:val="FontStyle13"/>
              </w:rPr>
              <w:t>Guard</w:t>
            </w:r>
            <w:proofErr w:type="spellEnd"/>
            <w:r w:rsidRPr="00CB07C0">
              <w:rPr>
                <w:rStyle w:val="FontStyle13"/>
              </w:rPr>
              <w:t>) i ochronę przed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dołączeniem nieuprawnionych serwerów DHCPv6 do sieci (DHCPv6 </w:t>
            </w:r>
            <w:proofErr w:type="spellStart"/>
            <w:r w:rsidRPr="00CB07C0">
              <w:rPr>
                <w:rStyle w:val="FontStyle13"/>
              </w:rPr>
              <w:t>Guard</w:t>
            </w:r>
            <w:proofErr w:type="spellEnd"/>
            <w:r w:rsidRPr="00CB07C0">
              <w:rPr>
                <w:rStyle w:val="FontStyle13"/>
              </w:rPr>
              <w:t>),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Możliwość autoryzacji prób logowania do urządzenia (dostęp administracyjny) do serwerów </w:t>
            </w:r>
            <w:r w:rsidRPr="00CB07C0">
              <w:rPr>
                <w:rStyle w:val="FontStyle13"/>
                <w:lang w:val="en-US"/>
              </w:rPr>
              <w:t xml:space="preserve">RADIUS </w:t>
            </w:r>
            <w:r w:rsidRPr="00CB07C0">
              <w:rPr>
                <w:rStyle w:val="FontStyle13"/>
              </w:rPr>
              <w:t>i TACACS+,</w:t>
            </w:r>
          </w:p>
          <w:p w:rsidR="00A038AC" w:rsidRPr="00CB07C0" w:rsidRDefault="004B43B2">
            <w:pPr>
              <w:pStyle w:val="Style5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1"/>
              </w:rPr>
              <w:t>Obsługa list kontroli dostępu (ACL) następujących typów:</w:t>
            </w:r>
          </w:p>
          <w:p w:rsidR="00A038AC" w:rsidRPr="00CB07C0" w:rsidRDefault="004B43B2">
            <w:pPr>
              <w:pStyle w:val="Style5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1"/>
              </w:rPr>
              <w:t>Port ACL umożliwiające kontrolę ruchu wchodzącego (</w:t>
            </w:r>
            <w:proofErr w:type="spellStart"/>
            <w:r w:rsidRPr="00CB07C0">
              <w:rPr>
                <w:rStyle w:val="FontStyle11"/>
              </w:rPr>
              <w:t>inbound</w:t>
            </w:r>
            <w:proofErr w:type="spellEnd"/>
            <w:r w:rsidRPr="00CB07C0">
              <w:rPr>
                <w:rStyle w:val="FontStyle11"/>
              </w:rPr>
              <w:t>) na poziomie portów L2 przełącznika,</w:t>
            </w:r>
          </w:p>
          <w:p w:rsidR="00A038AC" w:rsidRPr="00CB07C0" w:rsidRDefault="004B43B2">
            <w:pPr>
              <w:pStyle w:val="Style5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1"/>
              </w:rPr>
              <w:t>VLAN ACL umożliwiające kontrolę ruchu pomiędzy stacjami znajdującymi się w tej samem sieci VLAN w obrębie</w:t>
            </w:r>
          </w:p>
          <w:p w:rsidR="00A038AC" w:rsidRPr="00CB07C0" w:rsidRDefault="004B43B2">
            <w:pPr>
              <w:pStyle w:val="Style5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1"/>
              </w:rPr>
              <w:t>przełącznika,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proofErr w:type="spellStart"/>
            <w:r w:rsidRPr="00CB07C0">
              <w:rPr>
                <w:rStyle w:val="FontStyle13"/>
              </w:rPr>
              <w:t>Routed</w:t>
            </w:r>
            <w:proofErr w:type="spellEnd"/>
            <w:r w:rsidRPr="00CB07C0">
              <w:rPr>
                <w:rStyle w:val="FontStyle13"/>
              </w:rPr>
              <w:t xml:space="preserve"> ACL umożliwiające kontrolę ruchu routowanego pomiędzy sieciami VLAN, Możliwość konfiguracji tzw. czasowych list ACL (aktywnych w określonych godzinach i dniach tygodnia); Możliwość szyfrowania ruchu zgodnie z IEEE 802.1ae (</w:t>
            </w:r>
            <w:proofErr w:type="spellStart"/>
            <w:r w:rsidRPr="00CB07C0">
              <w:rPr>
                <w:rStyle w:val="FontStyle13"/>
              </w:rPr>
              <w:t>MACSec</w:t>
            </w:r>
            <w:proofErr w:type="spellEnd"/>
            <w:r w:rsidRPr="00CB07C0">
              <w:rPr>
                <w:rStyle w:val="FontStyle13"/>
              </w:rPr>
              <w:t xml:space="preserve">) dla wszystkich portów przełącznika (dla połączeń </w:t>
            </w:r>
            <w:r w:rsidRPr="00CB07C0">
              <w:rPr>
                <w:rStyle w:val="FontStyle13"/>
                <w:lang w:val="en-US"/>
              </w:rPr>
              <w:t xml:space="preserve">switch-switch) </w:t>
            </w:r>
            <w:r w:rsidRPr="00CB07C0">
              <w:rPr>
                <w:rStyle w:val="FontStyle13"/>
              </w:rPr>
              <w:t>kluczami o długości 128-bitów (gcm-aes</w:t>
            </w:r>
            <w:r w:rsidRPr="00CB07C0">
              <w:rPr>
                <w:rStyle w:val="FontStyle11"/>
              </w:rPr>
              <w:t xml:space="preserve">-128) </w:t>
            </w:r>
            <w:r w:rsidRPr="00CB07C0">
              <w:rPr>
                <w:rStyle w:val="FontStyle13"/>
              </w:rPr>
              <w:t xml:space="preserve">z mechanizmem </w:t>
            </w:r>
            <w:proofErr w:type="spellStart"/>
            <w:r w:rsidRPr="00CB07C0">
              <w:rPr>
                <w:rStyle w:val="FontStyle13"/>
                <w:lang w:val="en-US"/>
              </w:rPr>
              <w:t>MACsec</w:t>
            </w:r>
            <w:proofErr w:type="spellEnd"/>
            <w:r w:rsidRPr="00CB07C0">
              <w:rPr>
                <w:rStyle w:val="FontStyle13"/>
                <w:lang w:val="en-US"/>
              </w:rPr>
              <w:t xml:space="preserve"> Key Agreement </w:t>
            </w:r>
            <w:r w:rsidRPr="00CB07C0">
              <w:rPr>
                <w:rStyle w:val="FontStyle13"/>
              </w:rPr>
              <w:t xml:space="preserve">(MKA), </w:t>
            </w:r>
            <w:r w:rsidRPr="00CB07C0">
              <w:rPr>
                <w:rStyle w:val="FontStyle11"/>
              </w:rPr>
              <w:t>Wbudowane mechanizmy ochrony warstwy kontrolnej przełącznika (</w:t>
            </w:r>
            <w:proofErr w:type="spellStart"/>
            <w:r w:rsidRPr="00CB07C0">
              <w:rPr>
                <w:rStyle w:val="FontStyle11"/>
              </w:rPr>
              <w:t>CoPP</w:t>
            </w:r>
            <w:proofErr w:type="spellEnd"/>
            <w:r w:rsidRPr="00CB07C0">
              <w:rPr>
                <w:rStyle w:val="FontStyle11"/>
              </w:rPr>
              <w:t xml:space="preserve"> - Control </w:t>
            </w:r>
            <w:proofErr w:type="spellStart"/>
            <w:r w:rsidRPr="00CB07C0">
              <w:rPr>
                <w:rStyle w:val="FontStyle11"/>
              </w:rPr>
              <w:t>Plane</w:t>
            </w:r>
            <w:proofErr w:type="spellEnd"/>
            <w:r w:rsidRPr="00CB07C0">
              <w:rPr>
                <w:rStyle w:val="FontStyle11"/>
              </w:rPr>
              <w:t xml:space="preserve"> </w:t>
            </w:r>
            <w:proofErr w:type="spellStart"/>
            <w:r w:rsidRPr="00CB07C0">
              <w:rPr>
                <w:rStyle w:val="FontStyle11"/>
              </w:rPr>
              <w:t>Policing</w:t>
            </w:r>
            <w:proofErr w:type="spellEnd"/>
            <w:r w:rsidRPr="00CB07C0">
              <w:rPr>
                <w:rStyle w:val="FontStyle11"/>
              </w:rPr>
              <w:t xml:space="preserve">), Funkcja </w:t>
            </w:r>
            <w:proofErr w:type="spellStart"/>
            <w:r w:rsidRPr="00CB07C0">
              <w:rPr>
                <w:rStyle w:val="FontStyle11"/>
              </w:rPr>
              <w:t>Private</w:t>
            </w:r>
            <w:proofErr w:type="spellEnd"/>
            <w:r w:rsidRPr="00CB07C0">
              <w:rPr>
                <w:rStyle w:val="FontStyle11"/>
              </w:rPr>
              <w:t xml:space="preserve"> VLAN;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lastRenderedPageBreak/>
              <w:t>15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Obsługa mechanizmów zapewniających autentyczność uruchamianego oprogramowania oraz hardware urządzenia w tym: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sprawdzanie autentyczności oprogramowania (w tym </w:t>
            </w:r>
            <w:proofErr w:type="spellStart"/>
            <w:r w:rsidRPr="00CB07C0">
              <w:rPr>
                <w:rStyle w:val="FontStyle13"/>
              </w:rPr>
              <w:t>firmware</w:t>
            </w:r>
            <w:proofErr w:type="spellEnd"/>
            <w:r w:rsidRPr="00CB07C0">
              <w:rPr>
                <w:rStyle w:val="FontStyle13"/>
              </w:rPr>
              <w:t>, BIOS i system operacyjny urządzenia) przed uruchomieniem urządzenia,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bezpieczna sekwencja uruchamiania,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Sprzętowy układ umożliwiający sprawdzenie autentyczności urządzenia.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16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Mechanizmy związane z zapewnieniem jakości usług w sieci: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Implementacja 8 kolejek dla ruchu wyjściowego na każdym porcie dla obsługi ruchu o różnej klasie obsługi, Implementacja algorytmu </w:t>
            </w:r>
            <w:proofErr w:type="spellStart"/>
            <w:r w:rsidRPr="00CB07C0">
              <w:rPr>
                <w:rStyle w:val="FontStyle13"/>
              </w:rPr>
              <w:t>Shaped</w:t>
            </w:r>
            <w:proofErr w:type="spellEnd"/>
            <w:r w:rsidRPr="00CB07C0">
              <w:rPr>
                <w:rStyle w:val="FontStyle13"/>
              </w:rPr>
              <w:t xml:space="preserve"> </w:t>
            </w:r>
            <w:r w:rsidRPr="00CB07C0">
              <w:rPr>
                <w:rStyle w:val="FontStyle13"/>
                <w:lang w:val="es-ES_tradnl"/>
              </w:rPr>
              <w:t xml:space="preserve">Round </w:t>
            </w:r>
            <w:r w:rsidRPr="00CB07C0">
              <w:rPr>
                <w:rStyle w:val="FontStyle13"/>
              </w:rPr>
              <w:t>Robin dla obsługi kolejek,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Możliwość obsługi jednej z powyżej wspomnianych kolejek z bezwzględnym priorytetem w stosunku do innych (</w:t>
            </w:r>
            <w:proofErr w:type="spellStart"/>
            <w:r w:rsidRPr="00CB07C0">
              <w:rPr>
                <w:rStyle w:val="FontStyle13"/>
              </w:rPr>
              <w:t>Strict</w:t>
            </w:r>
            <w:proofErr w:type="spellEnd"/>
            <w:r w:rsidRPr="00CB07C0">
              <w:rPr>
                <w:rStyle w:val="FontStyle13"/>
              </w:rPr>
              <w:t xml:space="preserve"> </w:t>
            </w:r>
            <w:proofErr w:type="spellStart"/>
            <w:r w:rsidRPr="00CB07C0">
              <w:rPr>
                <w:rStyle w:val="FontStyle13"/>
              </w:rPr>
              <w:t>Priority</w:t>
            </w:r>
            <w:proofErr w:type="spellEnd"/>
            <w:r w:rsidRPr="00CB07C0">
              <w:rPr>
                <w:rStyle w:val="FontStyle13"/>
              </w:rPr>
              <w:t>),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Klasyfikacja ruchu do klas różnej jakości obsługi (</w:t>
            </w:r>
            <w:proofErr w:type="spellStart"/>
            <w:r w:rsidRPr="00CB07C0">
              <w:rPr>
                <w:rStyle w:val="FontStyle13"/>
              </w:rPr>
              <w:t>QoS</w:t>
            </w:r>
            <w:proofErr w:type="spellEnd"/>
            <w:r w:rsidRPr="00CB07C0">
              <w:rPr>
                <w:rStyle w:val="FontStyle13"/>
              </w:rPr>
              <w:t>) poprzez wykorzystanie następujących parametrów: źródłowy/docelowy adres MAC, źródłowy/docelowy adres IP, źródłowy/docelowy port TCP,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Możliwość ograniczania pasma dostępnego na danym porcie dla ruchu o danej klasie obsługi z dokładnością do 8 </w:t>
            </w:r>
            <w:proofErr w:type="spellStart"/>
            <w:r w:rsidRPr="00CB07C0">
              <w:rPr>
                <w:rStyle w:val="FontStyle13"/>
              </w:rPr>
              <w:t>Kbps</w:t>
            </w:r>
            <w:proofErr w:type="spellEnd"/>
            <w:r w:rsidRPr="00CB07C0">
              <w:rPr>
                <w:rStyle w:val="FontStyle13"/>
              </w:rPr>
              <w:t xml:space="preserve"> (</w:t>
            </w:r>
            <w:proofErr w:type="spellStart"/>
            <w:r w:rsidRPr="00CB07C0">
              <w:rPr>
                <w:rStyle w:val="FontStyle13"/>
              </w:rPr>
              <w:t>policing</w:t>
            </w:r>
            <w:proofErr w:type="spellEnd"/>
            <w:r w:rsidRPr="00CB07C0">
              <w:rPr>
                <w:rStyle w:val="FontStyle13"/>
              </w:rPr>
              <w:t xml:space="preserve">, </w:t>
            </w:r>
            <w:proofErr w:type="spellStart"/>
            <w:r w:rsidRPr="00CB07C0">
              <w:rPr>
                <w:rStyle w:val="FontStyle13"/>
              </w:rPr>
              <w:t>rate</w:t>
            </w:r>
            <w:proofErr w:type="spellEnd"/>
            <w:r w:rsidRPr="00CB07C0">
              <w:rPr>
                <w:rStyle w:val="FontStyle13"/>
              </w:rPr>
              <w:t xml:space="preserve"> </w:t>
            </w:r>
            <w:proofErr w:type="spellStart"/>
            <w:r w:rsidRPr="00CB07C0">
              <w:rPr>
                <w:rStyle w:val="FontStyle13"/>
              </w:rPr>
              <w:t>limiting</w:t>
            </w:r>
            <w:proofErr w:type="spellEnd"/>
            <w:r w:rsidRPr="00CB07C0">
              <w:rPr>
                <w:rStyle w:val="FontStyle13"/>
              </w:rPr>
              <w:t>),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Kontrola sztormów dla ruchu broadcast/</w:t>
            </w:r>
            <w:proofErr w:type="spellStart"/>
            <w:r w:rsidRPr="00CB07C0">
              <w:rPr>
                <w:rStyle w:val="FontStyle13"/>
              </w:rPr>
              <w:t>multicast</w:t>
            </w:r>
            <w:proofErr w:type="spellEnd"/>
            <w:r w:rsidRPr="00CB07C0">
              <w:rPr>
                <w:rStyle w:val="FontStyle13"/>
              </w:rPr>
              <w:t>/</w:t>
            </w:r>
            <w:proofErr w:type="spellStart"/>
            <w:r w:rsidRPr="00CB07C0">
              <w:rPr>
                <w:rStyle w:val="FontStyle13"/>
              </w:rPr>
              <w:t>unicast</w:t>
            </w:r>
            <w:proofErr w:type="spellEnd"/>
            <w:r w:rsidRPr="00CB07C0">
              <w:rPr>
                <w:rStyle w:val="FontStyle13"/>
              </w:rPr>
              <w:t>,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Możliwość zmiany przez urządzenie kodu wartości </w:t>
            </w:r>
            <w:r w:rsidRPr="00CB07C0">
              <w:rPr>
                <w:rStyle w:val="FontStyle13"/>
                <w:lang w:val="es-ES_tradnl"/>
              </w:rPr>
              <w:t xml:space="preserve">QoS </w:t>
            </w:r>
            <w:r w:rsidRPr="00CB07C0">
              <w:rPr>
                <w:rStyle w:val="FontStyle13"/>
              </w:rPr>
              <w:t>zawartego w ramce Ethernet lub pakiecie IP - poprzez zmianę pola 802.1p (</w:t>
            </w:r>
            <w:proofErr w:type="spellStart"/>
            <w:r w:rsidRPr="00CB07C0">
              <w:rPr>
                <w:rStyle w:val="FontStyle13"/>
              </w:rPr>
              <w:t>CoS</w:t>
            </w:r>
            <w:proofErr w:type="spellEnd"/>
            <w:r w:rsidRPr="00CB07C0">
              <w:rPr>
                <w:rStyle w:val="FontStyle13"/>
              </w:rPr>
              <w:t xml:space="preserve">) oraz IP </w:t>
            </w:r>
            <w:proofErr w:type="spellStart"/>
            <w:r w:rsidRPr="00CB07C0">
              <w:rPr>
                <w:rStyle w:val="FontStyle13"/>
              </w:rPr>
              <w:t>ToS</w:t>
            </w:r>
            <w:proofErr w:type="spellEnd"/>
            <w:r w:rsidRPr="00CB07C0">
              <w:rPr>
                <w:rStyle w:val="FontStyle13"/>
              </w:rPr>
              <w:t>/DSCP;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17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ind w:right="2712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Obsługa protokołów i mechanizmów routingu: Routing statyczny dla IPv4 i IPv6,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ind w:right="2712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Routing dynamiczny - RIP, OSPF do 1000 wpisów , PIM </w:t>
            </w:r>
            <w:proofErr w:type="spellStart"/>
            <w:r w:rsidRPr="00CB07C0">
              <w:rPr>
                <w:rStyle w:val="FontStyle13"/>
              </w:rPr>
              <w:t>Stub</w:t>
            </w:r>
            <w:proofErr w:type="spellEnd"/>
            <w:r w:rsidRPr="00CB07C0">
              <w:rPr>
                <w:rStyle w:val="FontStyle13"/>
              </w:rPr>
              <w:t xml:space="preserve"> do 1000 wpisów, Policy-</w:t>
            </w:r>
            <w:proofErr w:type="spellStart"/>
            <w:r w:rsidRPr="00CB07C0">
              <w:rPr>
                <w:rStyle w:val="FontStyle13"/>
              </w:rPr>
              <w:t>based</w:t>
            </w:r>
            <w:proofErr w:type="spellEnd"/>
            <w:r w:rsidRPr="00CB07C0">
              <w:rPr>
                <w:rStyle w:val="FontStyle13"/>
              </w:rPr>
              <w:t xml:space="preserve"> routing (PBR),</w:t>
            </w:r>
          </w:p>
          <w:p w:rsidR="00A038AC" w:rsidRDefault="004B43B2">
            <w:pPr>
              <w:pStyle w:val="Style1"/>
              <w:widowControl/>
              <w:spacing w:line="192" w:lineRule="exact"/>
              <w:ind w:right="2712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Obsługa protokołu redundancji bramy </w:t>
            </w:r>
            <w:r w:rsidRPr="00CB07C0">
              <w:rPr>
                <w:rStyle w:val="FontStyle13"/>
                <w:lang w:val="es-ES_tradnl"/>
              </w:rPr>
              <w:t xml:space="preserve">(VRRP) </w:t>
            </w:r>
            <w:r w:rsidRPr="00CB07C0">
              <w:rPr>
                <w:rStyle w:val="FontStyle13"/>
              </w:rPr>
              <w:t>z obsługą 64 grup, Obsługa 10 tuneli GRE (</w:t>
            </w:r>
            <w:proofErr w:type="spellStart"/>
            <w:r w:rsidRPr="00CB07C0">
              <w:rPr>
                <w:rStyle w:val="FontStyle13"/>
              </w:rPr>
              <w:t>Generic</w:t>
            </w:r>
            <w:proofErr w:type="spellEnd"/>
            <w:r w:rsidRPr="00CB07C0">
              <w:rPr>
                <w:rStyle w:val="FontStyle13"/>
              </w:rPr>
              <w:t xml:space="preserve"> Routing </w:t>
            </w:r>
            <w:proofErr w:type="spellStart"/>
            <w:r w:rsidRPr="00CB07C0">
              <w:rPr>
                <w:rStyle w:val="FontStyle13"/>
              </w:rPr>
              <w:t>Encapsulation</w:t>
            </w:r>
            <w:proofErr w:type="spellEnd"/>
            <w:r w:rsidRPr="00CB07C0">
              <w:rPr>
                <w:rStyle w:val="FontStyle13"/>
              </w:rPr>
              <w:t>);</w:t>
            </w:r>
          </w:p>
          <w:p w:rsidR="00CB07C0" w:rsidRPr="00CB07C0" w:rsidRDefault="00CB07C0">
            <w:pPr>
              <w:pStyle w:val="Style1"/>
              <w:widowControl/>
              <w:spacing w:line="192" w:lineRule="exact"/>
              <w:ind w:right="2712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ind w:right="2712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18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Przełącznik umożliwia lokalną i zdalną obserwację ruchu na określonym porcie, polegającą na kopiowaniu pojawiających się na nim ramek i przesyłaniu ich do zdalnego urządzenia monitorującego - mechanizmy SPAN, RSPAN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19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Przełącznik posiada wzorce konfiguracji portów zawierające prekonfigurowane ustawienia rekomendowane zależnie od typu urządzenia dołączonego do portu (np. telefon IP, kamera itp.),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20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  <w:lang w:val="es-ES_tradnl"/>
              </w:rPr>
            </w:pPr>
            <w:r w:rsidRPr="00CB07C0">
              <w:rPr>
                <w:rStyle w:val="FontStyle13"/>
              </w:rPr>
              <w:t xml:space="preserve">Funkcjonalność sondy IP SLA </w:t>
            </w:r>
            <w:r w:rsidRPr="00CB07C0">
              <w:rPr>
                <w:rStyle w:val="FontStyle13"/>
                <w:lang w:val="es-ES_tradnl"/>
              </w:rPr>
              <w:t>Responder,</w:t>
            </w:r>
          </w:p>
          <w:p w:rsidR="001A26BB" w:rsidRPr="00CB07C0" w:rsidRDefault="001A26BB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21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Zarządzanie Port konsoli,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Dedykowany port Ethernet do zarządzania out-of-band,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Plik konfiguracyjny urządzenia możliwy do edycji w trybie off-</w:t>
            </w:r>
            <w:proofErr w:type="spellStart"/>
            <w:r w:rsidRPr="00CB07C0">
              <w:rPr>
                <w:rStyle w:val="FontStyle13"/>
              </w:rPr>
              <w:t>line</w:t>
            </w:r>
            <w:proofErr w:type="spellEnd"/>
            <w:r w:rsidRPr="00CB07C0">
              <w:rPr>
                <w:rStyle w:val="FontStyle13"/>
              </w:rPr>
              <w:t xml:space="preserve"> (możliwość przeglądania i zmian konfiguracji w pliku tekstowym na dowolnym urządzeniu PC). Po zapisaniu konfiguracji w pamięci nieulotnej możliwość uruchomienia urządzenia z nową konfiguracją,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Obsługa protokołów SNMPv3, SSHv2, SCP, </w:t>
            </w:r>
            <w:proofErr w:type="spellStart"/>
            <w:r w:rsidRPr="00CB07C0">
              <w:rPr>
                <w:rStyle w:val="FontStyle13"/>
              </w:rPr>
              <w:t>sftp</w:t>
            </w:r>
            <w:proofErr w:type="spellEnd"/>
            <w:r w:rsidRPr="00CB07C0">
              <w:rPr>
                <w:rStyle w:val="FontStyle13"/>
              </w:rPr>
              <w:t xml:space="preserve"> (SSH File Transfer </w:t>
            </w:r>
            <w:proofErr w:type="spellStart"/>
            <w:r w:rsidRPr="00CB07C0">
              <w:rPr>
                <w:rStyle w:val="FontStyle13"/>
              </w:rPr>
              <w:t>Protocol</w:t>
            </w:r>
            <w:proofErr w:type="spellEnd"/>
            <w:r w:rsidRPr="00CB07C0">
              <w:rPr>
                <w:rStyle w:val="FontStyle13"/>
              </w:rPr>
              <w:t xml:space="preserve">), </w:t>
            </w:r>
            <w:proofErr w:type="spellStart"/>
            <w:r w:rsidRPr="00CB07C0">
              <w:rPr>
                <w:rStyle w:val="FontStyle13"/>
              </w:rPr>
              <w:t>https</w:t>
            </w:r>
            <w:proofErr w:type="spellEnd"/>
            <w:r w:rsidRPr="00CB07C0">
              <w:rPr>
                <w:rStyle w:val="FontStyle13"/>
              </w:rPr>
              <w:t xml:space="preserve">, </w:t>
            </w:r>
            <w:proofErr w:type="spellStart"/>
            <w:r w:rsidRPr="00CB07C0">
              <w:rPr>
                <w:rStyle w:val="FontStyle13"/>
              </w:rPr>
              <w:t>syslog</w:t>
            </w:r>
            <w:proofErr w:type="spellEnd"/>
            <w:r w:rsidRPr="00CB07C0">
              <w:rPr>
                <w:rStyle w:val="FontStyle13"/>
              </w:rPr>
              <w:t>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Możliwość konfiguracji za pomocą protokołu NETCONF (RFC 6241) i modelowania </w:t>
            </w:r>
            <w:proofErr w:type="spellStart"/>
            <w:r w:rsidRPr="00CB07C0">
              <w:rPr>
                <w:rStyle w:val="FontStyle13"/>
              </w:rPr>
              <w:t>YANGa</w:t>
            </w:r>
            <w:proofErr w:type="spellEnd"/>
            <w:r w:rsidRPr="00CB07C0">
              <w:rPr>
                <w:rStyle w:val="FontStyle13"/>
              </w:rPr>
              <w:t xml:space="preserve"> (RFC 6020) oraz eksportowania zdefiniowanych według potrzeb danych do zewnętrznych systemów,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Wsparcie dla protokoły RESTCONF,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Przełącznik posiada diodę umożliwiającą identyfikację konkretnego urządzenia podczas akcji serwisowych, Przełącznik posiada wbudowany </w:t>
            </w:r>
            <w:proofErr w:type="spellStart"/>
            <w:r w:rsidRPr="00CB07C0">
              <w:rPr>
                <w:rStyle w:val="FontStyle13"/>
              </w:rPr>
              <w:t>tag</w:t>
            </w:r>
            <w:proofErr w:type="spellEnd"/>
            <w:r w:rsidRPr="00CB07C0">
              <w:rPr>
                <w:rStyle w:val="FontStyle13"/>
              </w:rPr>
              <w:t xml:space="preserve"> RFID w celu łatwiejszego zarządzania infrastrukturą, Port USB umożliwiający podłączenie zewnętrznego nośnika danych. Urządzenie ma możliwość uruchomienia z nośnika danych umieszczonego w porcie USB,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Wbudowany graficzny interfejs zarządzania przełącznikiem dostępny z poziomu przeglądarki;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22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Możliwość montażu w szafie </w:t>
            </w:r>
            <w:proofErr w:type="spellStart"/>
            <w:r w:rsidRPr="00CB07C0">
              <w:rPr>
                <w:rStyle w:val="FontStyle13"/>
              </w:rPr>
              <w:t>rack</w:t>
            </w:r>
            <w:proofErr w:type="spellEnd"/>
            <w:r w:rsidRPr="00CB07C0">
              <w:rPr>
                <w:rStyle w:val="FontStyle13"/>
              </w:rPr>
              <w:t xml:space="preserve"> 19". Wysokość urządzenia 1 RU,</w:t>
            </w:r>
          </w:p>
          <w:p w:rsidR="001A26BB" w:rsidRPr="00CB07C0" w:rsidRDefault="001A26BB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23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Możliwość próbkowania (bez </w:t>
            </w:r>
            <w:proofErr w:type="spellStart"/>
            <w:r w:rsidRPr="00CB07C0">
              <w:rPr>
                <w:rStyle w:val="FontStyle13"/>
              </w:rPr>
              <w:t>samplowania</w:t>
            </w:r>
            <w:proofErr w:type="spellEnd"/>
            <w:r w:rsidRPr="00CB07C0">
              <w:rPr>
                <w:rStyle w:val="FontStyle13"/>
              </w:rPr>
              <w:t xml:space="preserve">) i eksportu statystyk ruchu do zewnętrznych kolektorów danych ze wsparciem sprzętowym dla protokołu </w:t>
            </w:r>
            <w:proofErr w:type="spellStart"/>
            <w:r w:rsidRPr="00CB07C0">
              <w:rPr>
                <w:rStyle w:val="FontStyle13"/>
              </w:rPr>
              <w:t>NetFlow</w:t>
            </w:r>
            <w:proofErr w:type="spellEnd"/>
            <w:r w:rsidRPr="00CB07C0">
              <w:rPr>
                <w:rStyle w:val="FontStyle13"/>
              </w:rPr>
              <w:t xml:space="preserve"> - obsługa 16000 strumieni (</w:t>
            </w:r>
            <w:proofErr w:type="spellStart"/>
            <w:r w:rsidRPr="00CB07C0">
              <w:rPr>
                <w:rStyle w:val="FontStyle13"/>
              </w:rPr>
              <w:t>flow</w:t>
            </w:r>
            <w:proofErr w:type="spellEnd"/>
            <w:r w:rsidRPr="00CB07C0">
              <w:rPr>
                <w:rStyle w:val="FontStyle13"/>
              </w:rPr>
              <w:t>),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24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Możliwość próbkowania (bez </w:t>
            </w:r>
            <w:proofErr w:type="spellStart"/>
            <w:r w:rsidRPr="00CB07C0">
              <w:rPr>
                <w:rStyle w:val="FontStyle13"/>
              </w:rPr>
              <w:t>samplowania</w:t>
            </w:r>
            <w:proofErr w:type="spellEnd"/>
            <w:r w:rsidRPr="00CB07C0">
              <w:rPr>
                <w:rStyle w:val="FontStyle13"/>
              </w:rPr>
              <w:t xml:space="preserve">) i eksportu statystyk ruchu do zewnętrznych kolektorów danych ze wsparciem sprzętowym dla protokołu </w:t>
            </w:r>
            <w:proofErr w:type="spellStart"/>
            <w:r w:rsidRPr="00CB07C0">
              <w:rPr>
                <w:rStyle w:val="FontStyle13"/>
              </w:rPr>
              <w:t>NetFlow</w:t>
            </w:r>
            <w:proofErr w:type="spellEnd"/>
            <w:r w:rsidRPr="00CB07C0">
              <w:rPr>
                <w:rStyle w:val="FontStyle13"/>
              </w:rPr>
              <w:t xml:space="preserve"> - obsługa 32000 strumieni (</w:t>
            </w:r>
            <w:proofErr w:type="spellStart"/>
            <w:r w:rsidRPr="00CB07C0">
              <w:rPr>
                <w:rStyle w:val="FontStyle13"/>
              </w:rPr>
              <w:t>flow</w:t>
            </w:r>
            <w:proofErr w:type="spellEnd"/>
            <w:r w:rsidRPr="00CB07C0">
              <w:rPr>
                <w:rStyle w:val="FontStyle13"/>
              </w:rPr>
              <w:t>),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25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 xml:space="preserve">Realizacja rozszerzenia protokołu </w:t>
            </w:r>
            <w:proofErr w:type="spellStart"/>
            <w:r w:rsidRPr="00CB07C0">
              <w:rPr>
                <w:rStyle w:val="FontStyle13"/>
              </w:rPr>
              <w:t>NetFlow</w:t>
            </w:r>
            <w:proofErr w:type="spellEnd"/>
            <w:r w:rsidRPr="00CB07C0">
              <w:rPr>
                <w:rStyle w:val="FontStyle13"/>
              </w:rPr>
              <w:t xml:space="preserve"> w postaci tzw. </w:t>
            </w:r>
            <w:r w:rsidRPr="00CB07C0">
              <w:rPr>
                <w:rStyle w:val="FontStyle13"/>
                <w:lang w:val="es-ES_tradnl"/>
              </w:rPr>
              <w:t xml:space="preserve">Flexible </w:t>
            </w:r>
            <w:proofErr w:type="spellStart"/>
            <w:r w:rsidRPr="00CB07C0">
              <w:rPr>
                <w:rStyle w:val="FontStyle13"/>
              </w:rPr>
              <w:t>NetFlow</w:t>
            </w:r>
            <w:proofErr w:type="spellEnd"/>
            <w:r w:rsidRPr="00CB07C0">
              <w:rPr>
                <w:rStyle w:val="FontStyle13"/>
              </w:rPr>
              <w:t xml:space="preserve">, który umożliwia monitorowanie większej ilości informacji zawartej w pakiecie danych od warstw 2 do 7, bardziej </w:t>
            </w:r>
            <w:proofErr w:type="spellStart"/>
            <w:r w:rsidRPr="00CB07C0">
              <w:rPr>
                <w:rStyle w:val="FontStyle13"/>
              </w:rPr>
              <w:t>granularne</w:t>
            </w:r>
            <w:proofErr w:type="spellEnd"/>
            <w:r w:rsidRPr="00CB07C0">
              <w:rPr>
                <w:rStyle w:val="FontStyle13"/>
              </w:rPr>
              <w:t xml:space="preserve"> monitorowanie ruchu i definiowanie monitorowanych przepływów (</w:t>
            </w:r>
            <w:proofErr w:type="spellStart"/>
            <w:r w:rsidRPr="00CB07C0">
              <w:rPr>
                <w:rStyle w:val="FontStyle13"/>
              </w:rPr>
              <w:t>flow</w:t>
            </w:r>
            <w:proofErr w:type="spellEnd"/>
            <w:r w:rsidRPr="00CB07C0">
              <w:rPr>
                <w:rStyle w:val="FontStyle13"/>
              </w:rPr>
              <w:t>) poprzez elastyczne definiowanie pól kluczowych,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26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</w:rPr>
            </w:pPr>
            <w:r w:rsidRPr="00CB07C0">
              <w:rPr>
                <w:rStyle w:val="FontStyle13"/>
              </w:rPr>
              <w:t>Możliwość tworzenia skryptów celem obsługi zdarzeń, które mogą pojawić się w systemie,</w:t>
            </w:r>
          </w:p>
          <w:p w:rsidR="001A26BB" w:rsidRPr="00CB07C0" w:rsidRDefault="001A26BB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27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rPr>
                <w:rStyle w:val="FontStyle13"/>
                <w:lang w:val="es-ES_tradnl"/>
              </w:rPr>
            </w:pPr>
            <w:r w:rsidRPr="00CB07C0">
              <w:rPr>
                <w:rStyle w:val="FontStyle13"/>
              </w:rPr>
              <w:t xml:space="preserve">Możliwość enkapsulacji ruchu w pakiety </w:t>
            </w:r>
            <w:r w:rsidRPr="00CB07C0">
              <w:rPr>
                <w:rStyle w:val="FontStyle13"/>
                <w:lang w:val="es-ES_tradnl"/>
              </w:rPr>
              <w:t>VXLAN,</w:t>
            </w:r>
          </w:p>
          <w:p w:rsidR="001A26BB" w:rsidRPr="00CB07C0" w:rsidRDefault="001A26BB">
            <w:pPr>
              <w:pStyle w:val="Style1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28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Możliwość uzyskania funkcjonalność sondy IP SLA do aktywnego generowania ruchu testowego i mierzenia parametrów ruchu w celu oceny jakości działania sieci,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4"/>
              <w:widowControl/>
              <w:rPr>
                <w:rStyle w:val="FontStyle14"/>
              </w:rPr>
            </w:pPr>
            <w:r w:rsidRPr="00CB07C0">
              <w:rPr>
                <w:rStyle w:val="FontStyle14"/>
              </w:rPr>
              <w:t xml:space="preserve">Dla 3 </w:t>
            </w:r>
            <w:proofErr w:type="spellStart"/>
            <w:r w:rsidRPr="00CB07C0">
              <w:rPr>
                <w:rStyle w:val="FontStyle14"/>
              </w:rPr>
              <w:t>switch'v</w:t>
            </w:r>
            <w:proofErr w:type="spellEnd"/>
            <w:r w:rsidRPr="00CB07C0">
              <w:rPr>
                <w:rStyle w:val="FontStyle14"/>
              </w:rPr>
              <w:t xml:space="preserve"> jako wyposażenie należy dostarczyć:</w:t>
            </w:r>
          </w:p>
          <w:p w:rsidR="001A26BB" w:rsidRPr="00CB07C0" w:rsidRDefault="001A26BB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rPr>
                <w:sz w:val="16"/>
                <w:szCs w:val="16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29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Przełącznik wyposażony w zasilacz podstawowy oraz dodatkowy zasilacz zapasowy o mocy analogicznej do mocy zasilacza podstawowego,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Przełącznik wyposażony w moduł do łączenia w stos wraz z kablem </w:t>
            </w:r>
            <w:proofErr w:type="spellStart"/>
            <w:r w:rsidRPr="00CB07C0">
              <w:rPr>
                <w:rStyle w:val="FontStyle13"/>
              </w:rPr>
              <w:t>stakującym</w:t>
            </w:r>
            <w:proofErr w:type="spellEnd"/>
            <w:r w:rsidRPr="00CB07C0">
              <w:rPr>
                <w:rStyle w:val="FontStyle13"/>
              </w:rPr>
              <w:t xml:space="preserve"> o długości 50 cm Przełącznik wyposażony w następujące wkładki interfejsowe: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Gigabit Ethernet 1000Base-LX/LH, 4szt.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Urządzenie wyposażone w licencje subskrypcyjną na wymagane funkcjonalności na okres 3 lat, oraz gwarancję producenta utrzymaną w reżimie 8x5xNBD przez okres min. 5 lat.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4"/>
              <w:widowControl/>
              <w:rPr>
                <w:rStyle w:val="FontStyle14"/>
              </w:rPr>
            </w:pPr>
            <w:r w:rsidRPr="00CB07C0">
              <w:rPr>
                <w:rStyle w:val="FontStyle14"/>
              </w:rPr>
              <w:t xml:space="preserve">Dla 9 </w:t>
            </w:r>
            <w:proofErr w:type="spellStart"/>
            <w:r w:rsidRPr="00CB07C0">
              <w:rPr>
                <w:rStyle w:val="FontStyle14"/>
              </w:rPr>
              <w:t>switch'y</w:t>
            </w:r>
            <w:proofErr w:type="spellEnd"/>
            <w:r w:rsidRPr="00CB07C0">
              <w:rPr>
                <w:rStyle w:val="FontStyle14"/>
              </w:rPr>
              <w:t xml:space="preserve"> jako wyposażenie należy dostarczyć:</w:t>
            </w:r>
          </w:p>
          <w:p w:rsidR="001A26BB" w:rsidRPr="00CB07C0" w:rsidRDefault="001A26BB">
            <w:pPr>
              <w:pStyle w:val="Style4"/>
              <w:widowControl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2"/>
              <w:widowControl/>
              <w:rPr>
                <w:sz w:val="16"/>
                <w:szCs w:val="16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30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Przełącznik wyposażony w zasilacz podstawowy oraz dodatkowy zasilacz zapasowy o mocy analogicznej do mocy zasilacza podstawowego,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 xml:space="preserve">Przełącznik wyposażony w moduł do łączenia w stos wraz z kablem </w:t>
            </w:r>
            <w:proofErr w:type="spellStart"/>
            <w:r w:rsidRPr="00CB07C0">
              <w:rPr>
                <w:rStyle w:val="FontStyle13"/>
              </w:rPr>
              <w:t>stakującym</w:t>
            </w:r>
            <w:proofErr w:type="spellEnd"/>
            <w:r w:rsidRPr="00CB07C0">
              <w:rPr>
                <w:rStyle w:val="FontStyle13"/>
              </w:rPr>
              <w:t xml:space="preserve"> o długości 1m. Przełącznik wyposażony w następujące wkładki interfejsowe:</w:t>
            </w:r>
          </w:p>
          <w:p w:rsidR="00A038AC" w:rsidRPr="00CB07C0" w:rsidRDefault="004B43B2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Gigabit Ethernet 1000Base-LX/LH, 4szt.</w:t>
            </w:r>
          </w:p>
          <w:p w:rsidR="00A038AC" w:rsidRDefault="004B43B2">
            <w:pPr>
              <w:pStyle w:val="Style1"/>
              <w:widowControl/>
              <w:spacing w:line="192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Urządzenie wyposażone jest w licencje subskrypcyjną na wymagane funkcjonalności na okres min. 3 lat, oraz gwarancję producenta utrzymaną w reżimie 8x5xNBD przez okres min. 5 lat.</w:t>
            </w:r>
          </w:p>
          <w:p w:rsidR="001A26BB" w:rsidRPr="00CB07C0" w:rsidRDefault="001A26BB">
            <w:pPr>
              <w:pStyle w:val="Style1"/>
              <w:widowControl/>
              <w:spacing w:line="192" w:lineRule="exact"/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92" w:lineRule="exact"/>
              <w:rPr>
                <w:rStyle w:val="FontStyle13"/>
              </w:rPr>
            </w:pPr>
          </w:p>
        </w:tc>
      </w:tr>
      <w:tr w:rsidR="00A038AC" w:rsidRPr="00CB07C0" w:rsidTr="00CB07C0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4B43B2">
            <w:pPr>
              <w:pStyle w:val="Style1"/>
              <w:widowControl/>
              <w:jc w:val="center"/>
              <w:rPr>
                <w:sz w:val="16"/>
                <w:szCs w:val="16"/>
              </w:rPr>
            </w:pPr>
            <w:r w:rsidRPr="00CB07C0">
              <w:rPr>
                <w:rStyle w:val="FontStyle13"/>
              </w:rPr>
              <w:t>31</w:t>
            </w:r>
          </w:p>
        </w:tc>
        <w:tc>
          <w:tcPr>
            <w:tcW w:w="7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Default="004B43B2">
            <w:pPr>
              <w:pStyle w:val="Style1"/>
              <w:widowControl/>
              <w:spacing w:line="187" w:lineRule="exact"/>
              <w:rPr>
                <w:rStyle w:val="FontStyle13"/>
              </w:rPr>
            </w:pPr>
            <w:r w:rsidRPr="00CB07C0">
              <w:rPr>
                <w:rStyle w:val="FontStyle13"/>
              </w:rPr>
              <w:t>Szpital posiada przełączniki Cisco C9200L-24P-4G-E, zaoferowane przełączniki muszą umożliwić podłączenie nowych urządzeń w stos z posiadanymi przełącznikami oraz zarządzanie wszystkimi urządzeniami w stosie jak jednym.</w:t>
            </w:r>
          </w:p>
          <w:p w:rsidR="001A26BB" w:rsidRPr="00CB07C0" w:rsidRDefault="001A26BB">
            <w:pPr>
              <w:pStyle w:val="Style1"/>
              <w:widowControl/>
              <w:spacing w:line="187" w:lineRule="exac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8AC" w:rsidRPr="00CB07C0" w:rsidRDefault="00A038AC">
            <w:pPr>
              <w:pStyle w:val="Style1"/>
              <w:widowControl/>
              <w:spacing w:line="187" w:lineRule="exact"/>
              <w:rPr>
                <w:rStyle w:val="FontStyle13"/>
              </w:rPr>
            </w:pPr>
          </w:p>
        </w:tc>
      </w:tr>
    </w:tbl>
    <w:p w:rsidR="00A038AC" w:rsidRPr="00CB07C0" w:rsidRDefault="00A038AC"/>
    <w:sectPr w:rsidR="00A038AC" w:rsidRPr="00CB07C0">
      <w:headerReference w:type="default" r:id="rId6"/>
      <w:footerReference w:type="default" r:id="rId7"/>
      <w:pgSz w:w="11906" w:h="16838"/>
      <w:pgMar w:top="833" w:right="1236" w:bottom="1191" w:left="1128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57" w:rsidRDefault="00FC0657">
      <w:r>
        <w:separator/>
      </w:r>
    </w:p>
  </w:endnote>
  <w:endnote w:type="continuationSeparator" w:id="0">
    <w:p w:rsidR="00FC0657" w:rsidRDefault="00F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AC" w:rsidRDefault="004B43B2">
    <w:pPr>
      <w:pStyle w:val="Style3"/>
      <w:widowControl/>
      <w:ind w:left="4493"/>
      <w:jc w:val="both"/>
    </w:pPr>
    <w:r>
      <w:rPr>
        <w:rStyle w:val="FontStyle15"/>
      </w:rPr>
      <w:t xml:space="preserve">Strona </w:t>
    </w: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1A26BB">
      <w:rPr>
        <w:rStyle w:val="FontStyle15"/>
        <w:noProof/>
      </w:rPr>
      <w:t>4</w:t>
    </w:r>
    <w:r>
      <w:rPr>
        <w:rStyle w:val="FontStyle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57" w:rsidRDefault="00FC0657">
      <w:r>
        <w:separator/>
      </w:r>
    </w:p>
  </w:footnote>
  <w:footnote w:type="continuationSeparator" w:id="0">
    <w:p w:rsidR="00FC0657" w:rsidRDefault="00FC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AC" w:rsidRDefault="00C746A1">
    <w:pPr>
      <w:pStyle w:val="Nagwek"/>
    </w:pPr>
    <w:r w:rsidRPr="00C746A1">
      <w:rPr>
        <w:noProof/>
      </w:rPr>
      <w:drawing>
        <wp:inline distT="0" distB="0" distL="0" distR="0" wp14:anchorId="08EFCB22" wp14:editId="72508A3A">
          <wp:extent cx="6059170" cy="682592"/>
          <wp:effectExtent l="0" t="0" r="0" b="3810"/>
          <wp:docPr id="2" name="Obraz 2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682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AC"/>
    <w:rsid w:val="001A26BB"/>
    <w:rsid w:val="004B43B2"/>
    <w:rsid w:val="00A038AC"/>
    <w:rsid w:val="00B27DFF"/>
    <w:rsid w:val="00C746A1"/>
    <w:rsid w:val="00CB07C0"/>
    <w:rsid w:val="00F64B5E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427E"/>
  <w15:docId w15:val="{B5EA3BD0-58E1-4630-8244-D6379CF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Arial" w:eastAsia="Times New Roman" w:hAnsi="Arial" w:cs="Arial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qFormat/>
    <w:rPr>
      <w:sz w:val="16"/>
      <w:szCs w:val="16"/>
    </w:rPr>
  </w:style>
  <w:style w:type="character" w:customStyle="1" w:styleId="FontStyle12">
    <w:name w:val="Font Style12"/>
    <w:basedOn w:val="Domylnaczcionkaakapitu"/>
    <w:qFormat/>
    <w:rPr>
      <w:smallCaps/>
      <w:sz w:val="16"/>
      <w:szCs w:val="16"/>
    </w:rPr>
  </w:style>
  <w:style w:type="character" w:customStyle="1" w:styleId="FontStyle13">
    <w:name w:val="Font Style13"/>
    <w:basedOn w:val="Domylnaczcionkaakapitu"/>
    <w:qFormat/>
    <w:rPr>
      <w:sz w:val="16"/>
      <w:szCs w:val="16"/>
    </w:rPr>
  </w:style>
  <w:style w:type="character" w:customStyle="1" w:styleId="FontStyle14">
    <w:name w:val="Font Style14"/>
    <w:basedOn w:val="Domylnaczcionkaakapitu"/>
    <w:qFormat/>
    <w:rPr>
      <w:b/>
      <w:bCs/>
      <w:sz w:val="16"/>
      <w:szCs w:val="16"/>
    </w:rPr>
  </w:style>
  <w:style w:type="character" w:customStyle="1" w:styleId="FontStyle15">
    <w:name w:val="Font Style15"/>
    <w:basedOn w:val="Domylnaczcionkaakapitu"/>
    <w:qFormat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DocumentMap">
    <w:name w:val="DocumentMap"/>
    <w:qFormat/>
    <w:pPr>
      <w:spacing w:after="160" w:line="252" w:lineRule="auto"/>
    </w:pPr>
    <w:rPr>
      <w:rFonts w:ascii="Arial" w:eastAsia="Times New Roman" w:hAnsi="Arial" w:cs="Calibri"/>
      <w:sz w:val="22"/>
      <w:szCs w:val="22"/>
      <w:lang w:eastAsia="pl-PL" w:bidi="ar-SA"/>
    </w:rPr>
  </w:style>
  <w:style w:type="paragraph" w:customStyle="1" w:styleId="Style1">
    <w:name w:val="Style1"/>
    <w:basedOn w:val="Normalny"/>
    <w:qFormat/>
    <w:pPr>
      <w:spacing w:line="194" w:lineRule="exact"/>
    </w:pPr>
  </w:style>
  <w:style w:type="paragraph" w:customStyle="1" w:styleId="Style2">
    <w:name w:val="Style2"/>
    <w:basedOn w:val="Normalny"/>
    <w:qFormat/>
  </w:style>
  <w:style w:type="paragraph" w:customStyle="1" w:styleId="Style3">
    <w:name w:val="Style3"/>
    <w:basedOn w:val="Normalny"/>
    <w:qFormat/>
  </w:style>
  <w:style w:type="paragraph" w:customStyle="1" w:styleId="Style4">
    <w:name w:val="Style4"/>
    <w:basedOn w:val="Normalny"/>
    <w:qFormat/>
  </w:style>
  <w:style w:type="paragraph" w:customStyle="1" w:styleId="Style5">
    <w:name w:val="Style5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6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6A1"/>
    <w:rPr>
      <w:rFonts w:ascii="Segoe UI" w:eastAsia="Times New Roman" w:hAnsi="Segoe UI" w:cs="Segoe UI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1778</Words>
  <Characters>10671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DB. Budny</dc:creator>
  <dc:description/>
  <cp:lastModifiedBy>Lenovo</cp:lastModifiedBy>
  <cp:revision>5</cp:revision>
  <cp:lastPrinted>2021-03-18T09:10:00Z</cp:lastPrinted>
  <dcterms:created xsi:type="dcterms:W3CDTF">2021-03-18T07:41:00Z</dcterms:created>
  <dcterms:modified xsi:type="dcterms:W3CDTF">2021-03-18T13:18:00Z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Lenovo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