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775AF" w14:textId="77777777" w:rsidR="00035112" w:rsidRPr="00C513EE" w:rsidRDefault="00CC011C" w:rsidP="004C146E">
      <w:pPr>
        <w:widowControl/>
        <w:autoSpaceDN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C513EE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Z</w:t>
      </w:r>
      <w:r w:rsidR="006503AE" w:rsidRPr="00C513EE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adanie 1 – Sprzęt </w:t>
      </w:r>
      <w:r w:rsidR="00721C17" w:rsidRPr="00C513EE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macierz i serwerów.</w:t>
      </w:r>
    </w:p>
    <w:p w14:paraId="55DA5DDD" w14:textId="77777777" w:rsidR="00035112" w:rsidRPr="00C513EE" w:rsidRDefault="00035112" w:rsidP="00CC011C">
      <w:pPr>
        <w:pStyle w:val="Tytu"/>
        <w:numPr>
          <w:ilvl w:val="0"/>
          <w:numId w:val="26"/>
        </w:numPr>
        <w:spacing w:before="120" w:after="120"/>
        <w:jc w:val="left"/>
        <w:rPr>
          <w:rFonts w:ascii="Arial" w:hAnsi="Arial" w:cs="Arial"/>
          <w:b w:val="0"/>
          <w:bCs/>
          <w:sz w:val="22"/>
          <w:szCs w:val="22"/>
        </w:rPr>
      </w:pPr>
      <w:r w:rsidRPr="00C513EE">
        <w:rPr>
          <w:rFonts w:ascii="Arial" w:hAnsi="Arial" w:cs="Arial"/>
          <w:b w:val="0"/>
          <w:bCs/>
          <w:sz w:val="22"/>
          <w:szCs w:val="22"/>
        </w:rPr>
        <w:t>Dostawa oraz instalacja macierzy dyskowej w ilości 1 szt.</w:t>
      </w:r>
    </w:p>
    <w:p w14:paraId="354FD654" w14:textId="77777777" w:rsidR="00035112" w:rsidRPr="00C513EE" w:rsidRDefault="00035112" w:rsidP="00CC011C">
      <w:pPr>
        <w:keepNext/>
        <w:spacing w:before="120" w:after="120"/>
        <w:rPr>
          <w:rFonts w:ascii="Arial" w:hAnsi="Arial" w:cs="Arial"/>
          <w:bCs/>
          <w:sz w:val="22"/>
          <w:szCs w:val="22"/>
        </w:rPr>
      </w:pPr>
      <w:r w:rsidRPr="00C513EE">
        <w:rPr>
          <w:rFonts w:ascii="Arial" w:eastAsia="Calibri" w:hAnsi="Arial" w:cs="Arial"/>
          <w:bCs/>
          <w:sz w:val="22"/>
          <w:szCs w:val="22"/>
        </w:rPr>
        <w:t>Macierz dyskowa  o następujących minimalnych parametrach: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4340"/>
        <w:gridCol w:w="3002"/>
      </w:tblGrid>
      <w:tr w:rsidR="00CC011C" w:rsidRPr="00C513EE" w14:paraId="44F2EF40" w14:textId="77777777" w:rsidTr="00CC011C">
        <w:tc>
          <w:tcPr>
            <w:tcW w:w="1578" w:type="dxa"/>
            <w:shd w:val="clear" w:color="auto" w:fill="auto"/>
          </w:tcPr>
          <w:p w14:paraId="52DE35B2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Nazwa</w:t>
            </w:r>
          </w:p>
        </w:tc>
        <w:tc>
          <w:tcPr>
            <w:tcW w:w="4340" w:type="dxa"/>
            <w:shd w:val="clear" w:color="auto" w:fill="auto"/>
          </w:tcPr>
          <w:p w14:paraId="31BEDE0F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Opis</w:t>
            </w:r>
          </w:p>
        </w:tc>
        <w:tc>
          <w:tcPr>
            <w:tcW w:w="3002" w:type="dxa"/>
          </w:tcPr>
          <w:p w14:paraId="0259AA9D" w14:textId="77777777" w:rsidR="00CC011C" w:rsidRPr="00C513EE" w:rsidRDefault="004C146E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Parametry oferowane</w:t>
            </w:r>
          </w:p>
        </w:tc>
      </w:tr>
      <w:tr w:rsidR="00CC011C" w:rsidRPr="00C513EE" w14:paraId="66AA6F72" w14:textId="77777777" w:rsidTr="00CC011C">
        <w:tc>
          <w:tcPr>
            <w:tcW w:w="1578" w:type="dxa"/>
            <w:shd w:val="clear" w:color="auto" w:fill="auto"/>
          </w:tcPr>
          <w:p w14:paraId="36D13628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Obudowa</w:t>
            </w:r>
          </w:p>
        </w:tc>
        <w:tc>
          <w:tcPr>
            <w:tcW w:w="4340" w:type="dxa"/>
            <w:shd w:val="clear" w:color="auto" w:fill="auto"/>
          </w:tcPr>
          <w:p w14:paraId="13176717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Przez macierz dyskową Zamawiający rozumie zestaw dysków twardych HDD i/lub dysków SSD kontrolowanych przez minimum pojedynczą parę kontrolerów macierzowych, kontrolujących wszystkie zasoby dyskowe macierzy z poziomu pojedynczej konsoli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WebGUI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/CLI administratora  </w:t>
            </w:r>
          </w:p>
          <w:p w14:paraId="03DA8692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posiadać architekturę modułową w zakresie obudowy dla instalacji kontrolerów oraz obsługiwanych dysków, z dopuszczeniem współdzielenia jednego z modułów przez kontrolery i dyski dla zapisów danych Użytkownika </w:t>
            </w:r>
          </w:p>
          <w:p w14:paraId="71693EC4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System musi być dostarczony ze wszystkimi komponentami do instalacji w standardowej szafie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19” z zajętością maks. 2U w tej szafie. </w:t>
            </w:r>
          </w:p>
          <w:p w14:paraId="6D99DA17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Każdy skonfigurowany moduł/obudowa musi posiadać układ nadmiarowy zasilania i chłodzenia, zapewniający bezprzerwową pracę macierzy bez ograniczeń czasowych w przypadku utraty redundancji w danym układzie (zasilania lub chłodzenia) </w:t>
            </w:r>
          </w:p>
          <w:p w14:paraId="42508BFB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Każdy moduł/obudowa  macierzy powinna posiadać widoczne elementy sygnalizacyjne do informowania o stanie poprawnej pracy lub awarii.  </w:t>
            </w:r>
          </w:p>
          <w:p w14:paraId="2716FE1E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Rozbudowa o dodatkowe moduły dla obsługiwanych dysków powinna odbywać się wyłącznie poprzez zakup takich modułów, bez konieczności zakupu dodatkowych licencji lub specjalnego oprogramowania aktywującego proces rozbudowy. </w:t>
            </w:r>
          </w:p>
          <w:p w14:paraId="381F87E3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Moduły dla dalszej rozbudowy o dodatkowe dyski i przestrzeń dyskową muszą zapewniać gęstości upakowania co najmniej 24 dysków 2,5” lub co najmniej 12 dysków 3,5” na każde 2U przestrzeni instalacyjnej w szafie przemysłowej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standardu 19”, </w:t>
            </w:r>
          </w:p>
          <w:p w14:paraId="2CACD1C7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Dostarczona konfiguracja macierzy musi pozwalać na połączenie kaskadowe lub w układzie pętli pomiędzy modułami rozwiązania (moduł kontrolerów, moduły/półki dyskowe), z wykorzystaniem  minimum 2-torów kablowych w tych połączeniach – okablowanie to musi być zgodne ze standardem SAS12Gb/s. W przypadku braku obsługi połączeń w układzie pętli dopuszcza się jako alternatywne rozwiązanie macierz z zainstalowanymi 4 kontrolerami RAID.</w:t>
            </w:r>
          </w:p>
        </w:tc>
        <w:tc>
          <w:tcPr>
            <w:tcW w:w="3002" w:type="dxa"/>
          </w:tcPr>
          <w:p w14:paraId="7CF88F9D" w14:textId="77777777" w:rsidR="00CC011C" w:rsidRPr="00C513E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076B6296" w14:textId="77777777" w:rsidTr="00CC011C">
        <w:tc>
          <w:tcPr>
            <w:tcW w:w="1578" w:type="dxa"/>
            <w:shd w:val="clear" w:color="auto" w:fill="auto"/>
          </w:tcPr>
          <w:p w14:paraId="33825A88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Pojemność</w:t>
            </w:r>
          </w:p>
        </w:tc>
        <w:tc>
          <w:tcPr>
            <w:tcW w:w="4340" w:type="dxa"/>
            <w:shd w:val="clear" w:color="auto" w:fill="auto"/>
          </w:tcPr>
          <w:p w14:paraId="2AD7DF63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8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Zamawiający wymaga dostarczenia macierzy z 7 dyskami SAS o pojemności 1,8 TB, 10.000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obr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/min 2,5” każdy, oraz z 3 dyskami SAS SSD o pojemności 960GB 2,5” każdy. </w:t>
            </w:r>
          </w:p>
          <w:p w14:paraId="36A1937C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8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Oferowana macierz musi obsługiwać  min. 260 dysków wykonanych w technologii hot-plug – jeżeli dla obsługi tej funkcjonalności konieczny jest zakup dodatkowych licencji to należy ją dostarczyć wraz z macierzą.  </w:t>
            </w:r>
          </w:p>
          <w:p w14:paraId="6FA3D090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8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Model oferowanej macierzy musi obsługiwać przestrzeń dyskową w trybie tzw. surowym (RAW) minimum 8 PB, bez konieczności wymiany zainstalowanych kontrolerów. </w:t>
            </w:r>
          </w:p>
          <w:p w14:paraId="7A852051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8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Wszystkie zainstalowane dyski hot-plug, z wyłączeniem dysków SSD stosowanych jako rozszerzenie pamięci Cache kontrolerów,  muszą być dostępne dla zapisu danych Użytkownika  </w:t>
            </w:r>
          </w:p>
        </w:tc>
        <w:tc>
          <w:tcPr>
            <w:tcW w:w="3002" w:type="dxa"/>
          </w:tcPr>
          <w:p w14:paraId="6035B4F1" w14:textId="77777777" w:rsidR="00CC011C" w:rsidRPr="00C513E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14BC80BA" w14:textId="77777777" w:rsidTr="00CC011C">
        <w:tc>
          <w:tcPr>
            <w:tcW w:w="1578" w:type="dxa"/>
            <w:shd w:val="clear" w:color="auto" w:fill="auto"/>
          </w:tcPr>
          <w:p w14:paraId="3DB1D096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Kontrolery</w:t>
            </w:r>
          </w:p>
        </w:tc>
        <w:tc>
          <w:tcPr>
            <w:tcW w:w="4340" w:type="dxa"/>
            <w:shd w:val="clear" w:color="auto" w:fill="auto"/>
          </w:tcPr>
          <w:p w14:paraId="699BD7E4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Kontrolery macierzy muszą obsługiwać tryb pracy w układzie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active-active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lub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mesh-active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 macierz musi być dostarczona z zainstalowanymi minimum 2 kontrolerami </w:t>
            </w:r>
          </w:p>
          <w:p w14:paraId="1AB63805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Każdy z kontrolerów macierzy musi posiadać po minimum 32 GB pamięci podręcznej Cache – kontrolery muszą obsługiwać między sobą mechanizm lustrzanej kopii danych (cache mirror) przeznaczonych do zapisu  </w:t>
            </w:r>
          </w:p>
          <w:p w14:paraId="5B8FEAC3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rozbudowę pamięci podręcznej cache dla operacji  odczytu o minimum 1600GB poprzez instalację dodatkowych modułów pamięci w kontrolerach lub wykorzystanie pojemności zainstalowanych dysków SSD,  </w:t>
            </w:r>
          </w:p>
          <w:p w14:paraId="3B2E179A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W przypadku awarii zasilania dane nie zapisane na dyski, przechowywane w pamięci podręcznej Cache dla zapisów muszą być zabezpieczone metodą trwałego zapisu na dysk lub równoważny. </w:t>
            </w:r>
          </w:p>
          <w:p w14:paraId="724C43D6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Kontrolery muszą posiadać możliwość ich wymiany (w przypadku awarii lub planowych zadań utrzymaniowych) bez konieczności wyłączania zasilania całego urządzenia  </w:t>
            </w:r>
          </w:p>
          <w:p w14:paraId="72D36139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wymianę kontrolera RAID bez utraty danych zapisanych na dyskach. </w:t>
            </w:r>
          </w:p>
          <w:p w14:paraId="3245CAE8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Kontrolery macierzy musza obsługiwać funkcjonalność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deduplikacji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i kompresji danych w trybie in-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line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tj. w pamięci Cache kontrolera i przed zapisem tych danych na zainstalowanych dyskach. Dostarczenie funkcjonalności nie jest wymagane – opcja rozbudowy. </w:t>
            </w:r>
          </w:p>
          <w:p w14:paraId="3A860238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Wielkość bloku danych poddanego mechanizmom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deduplikacji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i kompresji nie może być większa niż 16kB </w:t>
            </w:r>
          </w:p>
          <w:p w14:paraId="420FF350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Każdy z kontrolerów RAID powinien posiadać dedykowane minimum 2 interfejsy RJ-45 Ethernet obsługujący połączenia z prędkością minimum 1Gb/s - dla zdalnej  komunikacji z oprogramowaniem zarządzającym i konfiguracyjnym macierzy. </w:t>
            </w:r>
          </w:p>
          <w:p w14:paraId="78F61D26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Kontrolery macierzy muszą być oparte o procesor wykonany w technologii wielordzeniowej z minimum 4 rdzeniami o częstotliwości pracy min. 2.2GHz, </w:t>
            </w:r>
          </w:p>
          <w:p w14:paraId="14C939E3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Każdy kontroler macierzy musi pozwalać na konfigurację interfejsów niezbędnych dla współpracy w sieci IP/FC SAN oraz NAS,   </w:t>
            </w:r>
          </w:p>
          <w:p w14:paraId="06BE6F58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Dla obsługi operacji blokowych I/O w sieci IP/FC SAN kontrolery macierzy muszą wspierać protokoły transmisji: FC 16Gb/s ,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10Gb/s </w:t>
            </w:r>
          </w:p>
          <w:p w14:paraId="52C22715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Dla obsługi operacji plikowych I/O w sieci NAS kontrolery macierzy muszą wspierać minimum protokoły dostępu: CIFS, NFS.</w:t>
            </w:r>
          </w:p>
          <w:p w14:paraId="7D623F98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Uruchomienie obsługi protokołów CIFS i NFS nie może powodować zmniejszenia rozmiaru pamięci podręcznej cache wykorzystywanej przez macierz do obsługi protokołów blokowych – jako równoważność dla tego wymagania dopuszczone jest skonfigurowanie dodatkowo po minimum 32GB pamięci podręcznej Cache dla każdego kontrolera lub dodatkowo 2 grup dyskowych RAID1</w:t>
            </w:r>
            <w:r w:rsidR="006749C7" w:rsidRPr="00C513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z dyskami SAS SSD minimum  200GB </w:t>
            </w:r>
          </w:p>
          <w:p w14:paraId="425B2243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Dostarczenie funkcjonalności NAS (CIFS, NFS) nie jest wymagane – opcja rozbudowy.</w:t>
            </w:r>
          </w:p>
        </w:tc>
        <w:tc>
          <w:tcPr>
            <w:tcW w:w="3002" w:type="dxa"/>
          </w:tcPr>
          <w:p w14:paraId="3D3E2920" w14:textId="77777777" w:rsidR="00CC011C" w:rsidRPr="00C513E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47E63E49" w14:textId="77777777" w:rsidTr="00CC011C">
        <w:tc>
          <w:tcPr>
            <w:tcW w:w="1578" w:type="dxa"/>
            <w:shd w:val="clear" w:color="auto" w:fill="auto"/>
          </w:tcPr>
          <w:p w14:paraId="1EA319B8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Interfejsy</w:t>
            </w:r>
          </w:p>
        </w:tc>
        <w:tc>
          <w:tcPr>
            <w:tcW w:w="4340" w:type="dxa"/>
            <w:shd w:val="clear" w:color="auto" w:fill="auto"/>
          </w:tcPr>
          <w:p w14:paraId="721E5985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Oferowana macierz musi mieć minimum 2 porty FC 16Gb/s z SFP+, do dołączenia serwerów bezpośrednio lub poprzez sieć SAN, wyprowadzone na każdy kontroler RAID. </w:t>
            </w:r>
          </w:p>
          <w:p w14:paraId="115D2D91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umożliwiać wymianę portów do transmisji danych na porty obsługujące protokoły: FC 16Gb/s,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1/10Gb/s, SAS12Gb/s. </w:t>
            </w:r>
          </w:p>
          <w:p w14:paraId="3EA9DD08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Wymiana portów jw. nie może powodować wymiany samych kontrolerów RAID w oferowanym rozwiązaniu a w przypadku konieczność licencjonowania tej funkcjonalności macierz ma być dostarczona z aktywną licencja na instalację i obsługę każdego z wymienionych protokołów transmisji danych. </w:t>
            </w:r>
          </w:p>
          <w:p w14:paraId="15914F14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umożliwiać rozbudowę o 2 dodatkowe porty do transmisji danych na każdy kontroler, obsługujące protokoły: FC 16/32Gb/s,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1/10Gb/s, SAS12Gb/s. </w:t>
            </w:r>
          </w:p>
          <w:p w14:paraId="02937D93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Dla obsługi protokołów NFS i CIFS model oferowanej macierzy musi pozwalać na instalację minimum 4 interfejsów Ethernet 10Gb w macierzy,</w:t>
            </w:r>
          </w:p>
        </w:tc>
        <w:tc>
          <w:tcPr>
            <w:tcW w:w="3002" w:type="dxa"/>
          </w:tcPr>
          <w:p w14:paraId="6F451291" w14:textId="77777777" w:rsidR="00CC011C" w:rsidRPr="00C513E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4AE3372B" w14:textId="77777777" w:rsidTr="00CC011C">
        <w:tc>
          <w:tcPr>
            <w:tcW w:w="1578" w:type="dxa"/>
            <w:shd w:val="clear" w:color="auto" w:fill="auto"/>
          </w:tcPr>
          <w:p w14:paraId="66F05FCB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Poziomy RAID</w:t>
            </w:r>
          </w:p>
        </w:tc>
        <w:tc>
          <w:tcPr>
            <w:tcW w:w="4340" w:type="dxa"/>
            <w:shd w:val="clear" w:color="auto" w:fill="auto"/>
          </w:tcPr>
          <w:p w14:paraId="2E97D074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Macierz musi zapewniać poziom zabezpieczenia danych na dyskach definiowany poziomami RAID: 0, 1 , 10, 5 , 50, 6</w:t>
            </w:r>
          </w:p>
        </w:tc>
        <w:tc>
          <w:tcPr>
            <w:tcW w:w="3002" w:type="dxa"/>
          </w:tcPr>
          <w:p w14:paraId="1124C697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6C41B43B" w14:textId="77777777" w:rsidTr="00CC011C">
        <w:tc>
          <w:tcPr>
            <w:tcW w:w="1578" w:type="dxa"/>
            <w:shd w:val="clear" w:color="auto" w:fill="auto"/>
          </w:tcPr>
          <w:p w14:paraId="09C83BD3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Wspierane dyski  </w:t>
            </w:r>
          </w:p>
        </w:tc>
        <w:tc>
          <w:tcPr>
            <w:tcW w:w="4340" w:type="dxa"/>
            <w:shd w:val="clear" w:color="auto" w:fill="auto"/>
          </w:tcPr>
          <w:p w14:paraId="61ABC0E7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wszystkie dyski wspierane przez oferowany model macierzy muszą być wykonane w technologii hot-plug i posiadać podwójne porty SAS obsługujące tryb pracy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fullduplex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514410D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Oferowana macierz musi wspierać dyski hot-plug: - dyski elektroniczne SSD i mechaniczne HDD iż interfejsami SAS12Gb/s  - dyski mechaniczne HDD o prędkości obrotowej 7,2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krpm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10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krpm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oraz 15krpm </w:t>
            </w:r>
          </w:p>
          <w:p w14:paraId="45104F1D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mieszaną konfigurację dysków hot-plug SSD i HDD (SAS i NLSAS) zainstalowanych w dowolnym module rozwiązania </w:t>
            </w:r>
          </w:p>
          <w:p w14:paraId="1DB7D8A4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Model macierzy musi pozwalać na instalację dysków hot-plug w formacie 2,5” i 3,5” </w:t>
            </w:r>
          </w:p>
          <w:p w14:paraId="376D33D6" w14:textId="78D1936C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umożliwiać skonfigurowanie każdego zainstalowanego dysku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hotplug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jako dysk hot-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spare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(dysk zapasowy) w trybach: - hot-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spare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dedykowany dla zabezpieczenia tylko wybranej grupy dyskowej RAID - hot-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spare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dla zabezpieczenia dowolnej grupy dyskowej RAID. W przypadku awarii dysku fizycznego i wykorzystania wcześniej skonfigurowanego  dysku zapasowego wymiana uszkodzonego dysku na sprawny nie może powodować powrotnego kopiowania danych z dysku hot-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spare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na wymieniony dysk</w:t>
            </w:r>
          </w:p>
          <w:p w14:paraId="736A7401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W przypadku zastosowania zabezpieczenia danych przed awariami dysków fizycznych, opartego na alokacji nadmiarowej wolnej przestrzeni na dyskach z danymi, należy dostarczyć ilości dysków SSD i HDD opisane pkt. 2.1 niniejszej tabeli  zwiększone o minimum 20%. </w:t>
            </w:r>
          </w:p>
          <w:p w14:paraId="55F12D58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Macierz musi pozwalać na zaszyfrowanie danych zapisanych na dostarczonych dyskach SSD SAS i HDD SAS minimum kluczem AES256-bit – jeżeli  w tym celu niezbędne jest zakupienie dodatkowych licencji bądź komponentów sprzętowych to należy je dostarczyć wraz z macierzą.</w:t>
            </w:r>
          </w:p>
        </w:tc>
        <w:tc>
          <w:tcPr>
            <w:tcW w:w="3002" w:type="dxa"/>
          </w:tcPr>
          <w:p w14:paraId="206560DD" w14:textId="77777777" w:rsidR="00CC011C" w:rsidRPr="00C513E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7C79EA8D" w14:textId="77777777" w:rsidTr="00CC011C">
        <w:tc>
          <w:tcPr>
            <w:tcW w:w="1578" w:type="dxa"/>
            <w:shd w:val="clear" w:color="auto" w:fill="auto"/>
          </w:tcPr>
          <w:p w14:paraId="2FAC333F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Opcje software’owe</w:t>
            </w:r>
          </w:p>
        </w:tc>
        <w:tc>
          <w:tcPr>
            <w:tcW w:w="4340" w:type="dxa"/>
            <w:shd w:val="clear" w:color="auto" w:fill="auto"/>
          </w:tcPr>
          <w:p w14:paraId="7C36BC71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być wyposażona w system kopii migawkowych umożliwiających wykonanie minimum 512 kopii migawkowych – jeżeli funkcjonalność ta wymaga zakupu licencji to należy je dostarczyć w wariancie dla maksymalnej pojemności dyskowej dla oferowanej macierzy </w:t>
            </w:r>
          </w:p>
          <w:p w14:paraId="1B5E111E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powinna umożliwiać podłączenie logiczne z serwerami i stacjami poprzez min. 1024 ścieżek logicznych FC </w:t>
            </w:r>
          </w:p>
          <w:p w14:paraId="02C36A65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Macierz musi umożliwiać aktualizację oprogramowania wewnętrznego kontrolerów RAID i dysków bez konieczności wyłączania macierzy oraz bez konieczności wyłączania ścieżek logicznych FC/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dla podłączonych stacji/serwerów </w:t>
            </w:r>
          </w:p>
          <w:p w14:paraId="1DD5448A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Macierz musi umożliwiać dokonywanie w trybie on-line (tj. bez wyłączania zasilania i bez przerywania przetwarzania danych w macierzy) operacje: powiększanie grup dyskowych, zwiększanie rozmiaru woluminu, migrowanie woluminu na inną grupę dyskową</w:t>
            </w:r>
          </w:p>
          <w:p w14:paraId="19B31D2E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posiadać wsparcie dla systemów operacyjnych : MS Windows Server 2012R2/2016/2019,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SuSE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Linux SLES11,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RedHat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Linux ES 6/7/8, Vmware v.6.x, </w:t>
            </w:r>
          </w:p>
          <w:p w14:paraId="07733D4A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być dostarczona z licencją na oprogramowanie wspierające  technologię typu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multipath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(obsługa nadmiarowości dla ścieżek transmisji danych pomiędzy macierzą i serwerem)  dla połączeń FC i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B02EF9C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posiadać możliwość uruchamiania mechanizmów zdalnej replikacji danych, w trybie synchronicznym i asynchronicznym, po protokołach FC oraz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  bez konieczności stosowania zewnętrznych urządzeń konwersji wymienionych protokołów transmisji – nie jest wymagane jest dostarczenie licencji dla tej funkcjonalności </w:t>
            </w:r>
          </w:p>
          <w:p w14:paraId="6AAF288F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Funkcjonalność replikacji danych musi być zapewniona z poziomu oprogramowania wewnętrznego macierzy, jako tzw.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storage-based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data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replication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5CB3DD93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Replikacja danych jak w pkt.8  musi być obsługiwana w połączeniu z każdą macierzą z tej samej rodziny urządzeń wspierającą obsługę zdalnej replikacji danych </w:t>
            </w:r>
          </w:p>
          <w:p w14:paraId="7B483241" w14:textId="4A07AC39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posiadać możliwość tworzenia lokalnych tj. w obrębie zasobów macierzy, pełnych kopii danych (tzw. klony danych), kopii przyrostowych oraz kopii lustrzanych (mirror) </w:t>
            </w:r>
          </w:p>
          <w:p w14:paraId="1BBCF05C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mechanizm ochrony priorytetów obsługi wybranych zasobów – za taki mechanizm uznaje się funkcję typu ‘cache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partitioning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>’ lub ‘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storage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partitioning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’. </w:t>
            </w:r>
          </w:p>
          <w:p w14:paraId="3A5DBFEE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W przypadku obsługi protokołów CIFS i NFS wymagana jest funkcjonalność agregacji przepustowości dla interfejsów dedykowanych do obsługi tych protokołów </w:t>
            </w:r>
          </w:p>
          <w:p w14:paraId="3998E461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dla interfejsów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i interfejsów obsługujących protokoły CIFS i NFS  adresacje IP v.4 i IP v.6 </w:t>
            </w:r>
          </w:p>
          <w:p w14:paraId="397E2BB0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Obsługa protokołów CIFS i NFS musi odbywać się jednocześnie, jeżeli taka funkcjonalność wymaga dodatkowych licencji to należy je dostarczyć wraz z macierzą dla maksymalnej pojemności dyskowej (liczby obsługiwanych dysków) oferowanej macierzy. </w:t>
            </w:r>
          </w:p>
          <w:p w14:paraId="385EDF99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Wraz z macierzą należy dostarczyć oprogramowanie lub moduły programowe typu plug-in pozwalające na integracje macierzy w środowiskach Vmware w zakresie obsługi mechanizmów: Vmware VAAI, Vmware VVOL, Vmware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MultiPath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IO – z subskrypcją do bezpłatnej aktualizacji w całym okresie obowiązywania gwarancji</w:t>
            </w:r>
          </w:p>
          <w:p w14:paraId="2AB4B033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mechanizmy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Thin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Provisioning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czyli przydziału dla obsługiwanych środowisk woluminów logicznych o sumarycznej pojemności większej od sumy pojemności dysków fizycznych zainstalowanych w macierzy.  </w:t>
            </w:r>
          </w:p>
          <w:p w14:paraId="70D8502B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Model oferowanej macierzy musi wspierać rozwiązania klasy ‘klastra macierzowego’ tj. zapewnienia wysokiej dostępności zasobów dyskowych macierzy dla podłączonych platform software’owych i sprzętowych z wykorzystaniem synchronicznej replikacji danych pomiędzy minimum 2 macierzami protokołami FC oraz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– nie jest wymagane dostarczenie licencji dla tej funkcjonalności </w:t>
            </w:r>
          </w:p>
          <w:p w14:paraId="358871F1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wspierać usługi VSS (Volume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ShadowCopy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Services) w systemach klasy Microsoft Windows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Sever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2012R2 – wymagane jest dostarczenie niezbędnego oprogramowania / sterowników VSS pozwalających na obsługę VSS przy maksymalnej pojemności i liczbie dysków obsługiwanych przez oferowaną. W czasie trwania gwarancji wymaga się bezpłatnego dostępu do nowych wersji  oprogramowania  i sterowników VSS.  </w:t>
            </w:r>
          </w:p>
          <w:p w14:paraId="4E87E8D1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Macierz musi obsługiwać mechanizmy typu AST (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Automated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Storage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Tiering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) tj. automatycznego migrowania i realokacji bloków danych pomiędzy różnymi technologiami dyskowymi na podstawie analizy częstotliwości operacji I/O dla tych bloków oraz wg potrzeb wydajnościowych serwerów, środowisk  i aplikacji korzystających z zasobów macierzy – wymagane jest dostarczenie licencji dla tej funkcjonalności, jeśli oferowany model macierzy tego wymaga. </w:t>
            </w:r>
          </w:p>
          <w:p w14:paraId="4EFB7197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Mechanizm AST musi być obsługiwany przy korzystaniu zarówno z trzech jak z dwóch dostarczonych technologii dyskowych: SSD, SSAS, NLSAS </w:t>
            </w:r>
          </w:p>
          <w:p w14:paraId="32FC26F0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Maksymalna wielkość pojedynczego bloku danych podczas migracji i realokacji  mechanizmami AST nie może przekraczać 256MB. </w:t>
            </w:r>
          </w:p>
          <w:p w14:paraId="0E6E888D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Mechanizm AST musi mieć możliwość wyposażenia w funkcję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Quality-ofServices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pozwalająca na zagwarantowaniu wydajności dla wybranych zasobów macierzy (woluminów) mierzonej jako maksymalny czas opóźnień operacji I/O wykonywanych przez  serwer/środowisko/aplikację  </w:t>
            </w:r>
          </w:p>
          <w:p w14:paraId="41794803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Mechanizm AST musi pozwalać na definiowanie okna czasowego dla zbierania pomiarów wydajności operacji I/O oraz okna czasowego dla migrowania danych wg ustalonych zasad i polityk – minimalny definiowany czas trwania w/w operacji (długość okna czasowego) nie może być dłuższy niż 4 godziny. </w:t>
            </w:r>
          </w:p>
          <w:p w14:paraId="64CC7D2B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Mechanizm AST musi pozwalać na wykluczanie wybranych godzin i dni z pomiarów wydajności operacji I/O.</w:t>
            </w:r>
          </w:p>
          <w:p w14:paraId="13EAD1E9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mechanizmy migracji danych w trybie online  z innej macierzy tej klasy, z zachowaniem obsługi operacji I/O dla serwerów podłączonych do migrowanej macierzy tj. do migrowanych zasobów LUN </w:t>
            </w:r>
          </w:p>
        </w:tc>
        <w:tc>
          <w:tcPr>
            <w:tcW w:w="3002" w:type="dxa"/>
          </w:tcPr>
          <w:p w14:paraId="328391B7" w14:textId="77777777" w:rsidR="00CC011C" w:rsidRPr="00C513E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30D861C0" w14:textId="77777777" w:rsidTr="00CC011C">
        <w:tc>
          <w:tcPr>
            <w:tcW w:w="1578" w:type="dxa"/>
            <w:shd w:val="clear" w:color="auto" w:fill="auto"/>
          </w:tcPr>
          <w:p w14:paraId="6C281197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Konfiguracja, zarządzanie</w:t>
            </w:r>
          </w:p>
        </w:tc>
        <w:tc>
          <w:tcPr>
            <w:tcW w:w="4340" w:type="dxa"/>
            <w:shd w:val="clear" w:color="auto" w:fill="auto"/>
          </w:tcPr>
          <w:p w14:paraId="5837BD1F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2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Oprogramowanie do zarządzania musi być zintegrowane z systemem operacyjnym systemu pamięci masowej zarówno przy obsłudze transmisji danych protokołami blokowymi (FC,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SAS) jak i do obsługi transmisji protokołami CIFS/NFS. </w:t>
            </w:r>
          </w:p>
          <w:p w14:paraId="6D5F446C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2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Oprogramowanie zarządzające musi być dostarczone w wariancie dla maksymalnej obsługiwanej pojemności dyskowej macierzy oraz dla maksymalnej liczby dysków wspieranej przez oferowaną macierz.  </w:t>
            </w:r>
          </w:p>
          <w:p w14:paraId="7AD0CE3B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2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Komunikacja z wbudowanym oprogramowaniem zarządzającym macierzą musi być możliwa w trybie graficznym np. poprzez przeglądarkę WWW oraz w trybie tekstowym.  </w:t>
            </w:r>
          </w:p>
          <w:p w14:paraId="378495F6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2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Musi być możliwe zdalne zarządzanie macierzą z wykorzystaniem standardowej przeglądarki internetowej (np. Internet Explorer, Google Chrome, Mozilla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Firefox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) bez konieczności instalacji  żadnych dodatkowych aplikacji na stacji administratora </w:t>
            </w:r>
          </w:p>
          <w:p w14:paraId="7479C0D3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2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Wbudowane oprogramowanie macierzy musi obsługiwać połączenia z modułem zarządzania macierzy poprzez szyfrowanie komunikacji protokołami: SSL dla komunikacji poprzez przeglądarkę WWW i protokołem SSH dla komunikacji poprzez CLI</w:t>
            </w:r>
          </w:p>
        </w:tc>
        <w:tc>
          <w:tcPr>
            <w:tcW w:w="3002" w:type="dxa"/>
          </w:tcPr>
          <w:p w14:paraId="7DE76346" w14:textId="77777777" w:rsidR="00CC011C" w:rsidRPr="00C513E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38815AA6" w14:textId="77777777" w:rsidTr="00CC011C">
        <w:tc>
          <w:tcPr>
            <w:tcW w:w="1578" w:type="dxa"/>
            <w:shd w:val="clear" w:color="auto" w:fill="auto"/>
          </w:tcPr>
          <w:p w14:paraId="782ADD2F" w14:textId="77777777" w:rsidR="00CC011C" w:rsidRPr="00C513E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Gwarancja i serwis  </w:t>
            </w:r>
          </w:p>
        </w:tc>
        <w:tc>
          <w:tcPr>
            <w:tcW w:w="4340" w:type="dxa"/>
            <w:shd w:val="clear" w:color="auto" w:fill="auto"/>
          </w:tcPr>
          <w:p w14:paraId="4E3389B5" w14:textId="2E6DB313" w:rsidR="006749C7" w:rsidRPr="00C513EE" w:rsidRDefault="00CC011C" w:rsidP="00A23104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Całe rozwiązanie musi być objęte minimum 36 miesięcznym okresem gwarancji z naprawą miejscu instalacji urządzenia</w:t>
            </w:r>
            <w:r w:rsidR="006749C7"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z czterogodzinnym czasem </w:t>
            </w:r>
            <w:r w:rsidR="006617CE" w:rsidRPr="00C513EE">
              <w:rPr>
                <w:rFonts w:ascii="Arial" w:hAnsi="Arial" w:cs="Arial"/>
                <w:bCs/>
                <w:sz w:val="22"/>
                <w:szCs w:val="22"/>
              </w:rPr>
              <w:t>reakcji od przyjęcia zgłoszenia oraz czasem realizacji naprawy najpóźniej następnego dnia roboczego,</w:t>
            </w:r>
            <w:r w:rsidR="006749C7" w:rsidRPr="00C513EE">
              <w:rPr>
                <w:rFonts w:ascii="Arial" w:hAnsi="Arial" w:cs="Arial"/>
                <w:bCs/>
                <w:sz w:val="22"/>
                <w:szCs w:val="22"/>
              </w:rPr>
              <w:t xml:space="preserve"> możliwość zgłaszania awarii w trybie 365x7x24 poprzez ogólnopolską linię telefoniczną producenta. Rozwiązanie problemów z serwerem na miejscu awarii przez pracownika serwisu w siedzibie firmy Klienta. Pomoc techniczna na miejscu wraz z wymianą części.   </w:t>
            </w:r>
          </w:p>
          <w:p w14:paraId="1206B5B6" w14:textId="116387E5" w:rsidR="00CC011C" w:rsidRPr="00C513EE" w:rsidRDefault="006749C7" w:rsidP="00663E19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W przypadku awarii dyski twarde pozostają własnością Zamawiającego.</w:t>
            </w:r>
            <w:r w:rsidR="00663E19" w:rsidRPr="00C513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011C" w:rsidRPr="00C513EE">
              <w:rPr>
                <w:rFonts w:ascii="Arial" w:hAnsi="Arial" w:cs="Arial"/>
                <w:bCs/>
                <w:sz w:val="22"/>
                <w:szCs w:val="22"/>
              </w:rPr>
              <w:t xml:space="preserve">Serwis gwarancyjny musi obejmować dostęp do poprawek i nowych wersji oprogramowania wbudowanego, które są elementem zamówienia, w ciągu 60 miesięcy od daty zakupu.     </w:t>
            </w:r>
          </w:p>
          <w:p w14:paraId="2675C875" w14:textId="22EB300F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System musi zapewniać możliwość samodzielnego i automatycznego powiadamiania producenta i administratorów Zamawiającego o usterkach za pomocą wiadomości wysyłanych poprzez protokół SNMP (wersja: 1 ,2c, 3) lub SMTP </w:t>
            </w:r>
          </w:p>
          <w:p w14:paraId="0F97F2F8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Macierz musi pochodzić z legalnego kanału sprzedaży producenta w Polsce i musi reprezentować model bieżącej linii produkcyjnej. Nie dopuszcza się użycia macierzy odnawianych, demonstracyjnych lub powystawowych  </w:t>
            </w:r>
          </w:p>
          <w:p w14:paraId="5DAE9614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Ogólnopolska, telefoniczna infolinia/linia techniczna, (należy podać numer telefonu w umowie) w czasie obowiązywania gwarancji na sprzęt i umożliwiająca po podaniu numeru seryjnego urządzenia weryfikację szczegółowej sprzętowej konfiguracji fabrycznej, okresu i typu obowiązującej gwarancji. </w:t>
            </w:r>
          </w:p>
          <w:p w14:paraId="2A97AD6B" w14:textId="77777777" w:rsidR="00CC011C" w:rsidRPr="00C513E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Serwis umożliwiający automatyczne zgłaszanie usterek i awarii sprzętowych poprzez wysłanie powiadomienia z możliwością automatycznego założenia zgłoszenia w systemie typy helpdesk/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servicedesk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002" w:type="dxa"/>
          </w:tcPr>
          <w:p w14:paraId="17E49DAB" w14:textId="77777777" w:rsidR="00CC011C" w:rsidRPr="00C513E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57F6E9E" w14:textId="77777777" w:rsidR="00035112" w:rsidRPr="00C513EE" w:rsidRDefault="00035112" w:rsidP="00035112">
      <w:pPr>
        <w:pStyle w:val="Tekstpodstawowy"/>
        <w:rPr>
          <w:rFonts w:ascii="Arial" w:hAnsi="Arial" w:cs="Arial"/>
          <w:sz w:val="22"/>
          <w:szCs w:val="22"/>
        </w:rPr>
      </w:pPr>
    </w:p>
    <w:p w14:paraId="14C374D9" w14:textId="77777777" w:rsidR="00035112" w:rsidRPr="00C513EE" w:rsidRDefault="00035112" w:rsidP="00035112">
      <w:pPr>
        <w:pStyle w:val="Tytu"/>
        <w:jc w:val="left"/>
        <w:rPr>
          <w:rFonts w:ascii="Arial" w:hAnsi="Arial" w:cs="Arial"/>
          <w:sz w:val="22"/>
          <w:szCs w:val="22"/>
        </w:rPr>
      </w:pPr>
      <w:r w:rsidRPr="00C513EE">
        <w:rPr>
          <w:rFonts w:ascii="Arial" w:hAnsi="Arial" w:cs="Arial"/>
          <w:sz w:val="22"/>
          <w:szCs w:val="22"/>
        </w:rPr>
        <w:br w:type="page"/>
      </w:r>
    </w:p>
    <w:p w14:paraId="29666D51" w14:textId="77777777" w:rsidR="00035112" w:rsidRPr="00C513EE" w:rsidRDefault="00035112" w:rsidP="00CC011C">
      <w:pPr>
        <w:pStyle w:val="Tytu"/>
        <w:numPr>
          <w:ilvl w:val="0"/>
          <w:numId w:val="26"/>
        </w:numPr>
        <w:spacing w:before="120" w:after="120"/>
        <w:jc w:val="left"/>
        <w:rPr>
          <w:rFonts w:ascii="Arial" w:hAnsi="Arial" w:cs="Arial"/>
          <w:b w:val="0"/>
          <w:bCs/>
          <w:sz w:val="22"/>
          <w:szCs w:val="22"/>
        </w:rPr>
      </w:pPr>
      <w:r w:rsidRPr="00C513EE">
        <w:rPr>
          <w:rFonts w:ascii="Arial" w:hAnsi="Arial" w:cs="Arial"/>
          <w:b w:val="0"/>
          <w:bCs/>
          <w:sz w:val="22"/>
          <w:szCs w:val="22"/>
        </w:rPr>
        <w:t>Dostawa i instalacja SERWERA  – 1 szt.</w:t>
      </w:r>
    </w:p>
    <w:p w14:paraId="597C9703" w14:textId="77777777" w:rsidR="00035112" w:rsidRPr="00C513EE" w:rsidRDefault="00035112" w:rsidP="00035112">
      <w:pPr>
        <w:keepNext/>
        <w:spacing w:before="120" w:after="120"/>
        <w:rPr>
          <w:rFonts w:ascii="Arial" w:hAnsi="Arial" w:cs="Arial"/>
          <w:bCs/>
          <w:sz w:val="22"/>
          <w:szCs w:val="22"/>
        </w:rPr>
      </w:pPr>
      <w:r w:rsidRPr="00C513EE">
        <w:rPr>
          <w:rFonts w:ascii="Arial" w:eastAsia="Calibri" w:hAnsi="Arial" w:cs="Arial"/>
          <w:bCs/>
          <w:sz w:val="22"/>
          <w:szCs w:val="22"/>
        </w:rPr>
        <w:t>Serwer o następujących minimalnych parametrach: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196"/>
        <w:gridCol w:w="3073"/>
      </w:tblGrid>
      <w:tr w:rsidR="00CC011C" w:rsidRPr="00C513EE" w14:paraId="5C48C1E7" w14:textId="77777777" w:rsidTr="005872E2">
        <w:tc>
          <w:tcPr>
            <w:tcW w:w="1684" w:type="dxa"/>
            <w:shd w:val="clear" w:color="auto" w:fill="auto"/>
          </w:tcPr>
          <w:p w14:paraId="1BBA3F16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Nazwa</w:t>
            </w:r>
          </w:p>
        </w:tc>
        <w:tc>
          <w:tcPr>
            <w:tcW w:w="4286" w:type="dxa"/>
            <w:shd w:val="clear" w:color="auto" w:fill="auto"/>
          </w:tcPr>
          <w:p w14:paraId="5312DF2C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Opis</w:t>
            </w:r>
          </w:p>
        </w:tc>
        <w:tc>
          <w:tcPr>
            <w:tcW w:w="3176" w:type="dxa"/>
          </w:tcPr>
          <w:p w14:paraId="16086CF5" w14:textId="77777777" w:rsidR="00CC011C" w:rsidRPr="00C513EE" w:rsidRDefault="004C146E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Parametry oferowane</w:t>
            </w:r>
          </w:p>
        </w:tc>
      </w:tr>
      <w:tr w:rsidR="00CC011C" w:rsidRPr="00C513EE" w14:paraId="41767F0A" w14:textId="77777777" w:rsidTr="005872E2">
        <w:tc>
          <w:tcPr>
            <w:tcW w:w="1684" w:type="dxa"/>
            <w:shd w:val="clear" w:color="auto" w:fill="auto"/>
          </w:tcPr>
          <w:p w14:paraId="6E439F05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Obudowa</w:t>
            </w:r>
          </w:p>
        </w:tc>
        <w:tc>
          <w:tcPr>
            <w:tcW w:w="4286" w:type="dxa"/>
            <w:shd w:val="clear" w:color="auto" w:fill="auto"/>
          </w:tcPr>
          <w:p w14:paraId="3338766F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Typu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Rack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wysokość maksimum 1U; -Dostarczona wraz z szynami umożliwiającymi pełne wysunięcie serwera z szafy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rack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oraz ramieniem porządkującym ułożenie przewodów w szafie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rack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;</w:t>
            </w:r>
          </w:p>
        </w:tc>
        <w:tc>
          <w:tcPr>
            <w:tcW w:w="3176" w:type="dxa"/>
          </w:tcPr>
          <w:p w14:paraId="18243E4B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272D0CB1" w14:textId="77777777" w:rsidTr="005872E2">
        <w:tc>
          <w:tcPr>
            <w:tcW w:w="1684" w:type="dxa"/>
            <w:shd w:val="clear" w:color="auto" w:fill="auto"/>
          </w:tcPr>
          <w:p w14:paraId="79F47A85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Płyta główna</w:t>
            </w:r>
          </w:p>
        </w:tc>
        <w:tc>
          <w:tcPr>
            <w:tcW w:w="4286" w:type="dxa"/>
            <w:shd w:val="clear" w:color="auto" w:fill="auto"/>
          </w:tcPr>
          <w:p w14:paraId="330D42FE" w14:textId="07C7F69F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-Dwuprocesorowa</w:t>
            </w:r>
            <w:r w:rsidR="005872E2"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możliwość instalacji procesorów dwudziestoośmiordzeniowych; -wyposażona w minimum 24 gniazda pamięci RAM DDR4, obsługa minimum 3000GB pamięci RAM DDR4 2966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Mhz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; -Oferowany model serwera musi obsługiwać pamięć nieulotną instalowaną w gniazdach pamięci RAM o pojemności sumarycznej minimum 1000GB (przez pamięć nieulotną rozumie się moduły pamięci zachowujące swój stan np. w przypadku nagłej awarii zasilania, nie dopuszcza się podtrzymania bateryjnego stanu pamięci) -Minimum 2 sloty dla dysków M.2 na płycie głównej (lub dedykowanej karcie PCI Express) nie zajmujące klatek dla dysków hot-plug; (Możliwość integracji dedykowanej, wewnętrznej pamięci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flash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przeznaczonej dla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wirtualizatora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w slocie M.2 bez zajmowania klatek dyskowych serwera);  -Możliwość instalacji nadmiarowego nośnika SD lub M2 o pojemności minimum 64GB na potrzeby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wirtualizatora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(wymagany RAID 1 obsługiwany przez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VMWare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3176" w:type="dxa"/>
          </w:tcPr>
          <w:p w14:paraId="1ECFDBB9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4B502A55" w14:textId="77777777" w:rsidTr="005872E2">
        <w:tc>
          <w:tcPr>
            <w:tcW w:w="1684" w:type="dxa"/>
            <w:shd w:val="clear" w:color="auto" w:fill="auto"/>
          </w:tcPr>
          <w:p w14:paraId="064CBCE5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Procesory</w:t>
            </w:r>
          </w:p>
        </w:tc>
        <w:tc>
          <w:tcPr>
            <w:tcW w:w="4286" w:type="dxa"/>
            <w:shd w:val="clear" w:color="auto" w:fill="auto"/>
          </w:tcPr>
          <w:p w14:paraId="48F74175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-Zainstalowany minimum jeden procesor 8-rdzeniowy o podstawowym taktowaniu 2,1GHz; pamięć TLC min. 11 MB</w:t>
            </w:r>
          </w:p>
        </w:tc>
        <w:tc>
          <w:tcPr>
            <w:tcW w:w="3176" w:type="dxa"/>
          </w:tcPr>
          <w:p w14:paraId="5096FC0C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50E77997" w14:textId="77777777" w:rsidTr="005872E2">
        <w:tc>
          <w:tcPr>
            <w:tcW w:w="1684" w:type="dxa"/>
            <w:shd w:val="clear" w:color="auto" w:fill="auto"/>
          </w:tcPr>
          <w:p w14:paraId="5D74CDC7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Pamięć RAM</w:t>
            </w:r>
          </w:p>
        </w:tc>
        <w:tc>
          <w:tcPr>
            <w:tcW w:w="4286" w:type="dxa"/>
            <w:shd w:val="clear" w:color="auto" w:fill="auto"/>
          </w:tcPr>
          <w:p w14:paraId="65072F65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-Zainstalowane 128 GB pamięci RAM typu DDR4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Registered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2933Mhz w kościach o pojemności 32GB; -Wsparcie dla technologii zabezpieczania pamięci Advanced ECC, Memory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Scrubbing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, SDDC lub równoważnej; -wsparcie serwera dla konfiguracji kopii lustrzanej pamięci RAM;</w:t>
            </w:r>
          </w:p>
        </w:tc>
        <w:tc>
          <w:tcPr>
            <w:tcW w:w="3176" w:type="dxa"/>
          </w:tcPr>
          <w:p w14:paraId="5FB2294E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18761DCE" w14:textId="77777777" w:rsidTr="005872E2">
        <w:tc>
          <w:tcPr>
            <w:tcW w:w="1684" w:type="dxa"/>
            <w:shd w:val="clear" w:color="auto" w:fill="auto"/>
          </w:tcPr>
          <w:p w14:paraId="5B30710B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Kontrolery dyskowe, I/O</w:t>
            </w:r>
          </w:p>
        </w:tc>
        <w:tc>
          <w:tcPr>
            <w:tcW w:w="4286" w:type="dxa"/>
            <w:shd w:val="clear" w:color="auto" w:fill="auto"/>
          </w:tcPr>
          <w:p w14:paraId="6C6D8F01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-Kontroler SAS/SATA, obsługa minimum 4 dysków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hotplug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, RAID 0, 1, 10, 5, 50, 6, 60, z pamięcią podręczną cache min. 2GB</w:t>
            </w:r>
          </w:p>
        </w:tc>
        <w:tc>
          <w:tcPr>
            <w:tcW w:w="3176" w:type="dxa"/>
          </w:tcPr>
          <w:p w14:paraId="42141BAA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701C44FD" w14:textId="77777777" w:rsidTr="005872E2">
        <w:tc>
          <w:tcPr>
            <w:tcW w:w="1684" w:type="dxa"/>
            <w:shd w:val="clear" w:color="auto" w:fill="auto"/>
          </w:tcPr>
          <w:p w14:paraId="06622189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Dyski twarde</w:t>
            </w:r>
          </w:p>
        </w:tc>
        <w:tc>
          <w:tcPr>
            <w:tcW w:w="4286" w:type="dxa"/>
            <w:shd w:val="clear" w:color="auto" w:fill="auto"/>
          </w:tcPr>
          <w:p w14:paraId="7DAD32FF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Minimum 4 wnęki dla dysków 2,5 cala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Hotplug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; Zainstalowane minimum 2 dyski  240GB SSD 6Gb SATA, o 3.6 DWP</w:t>
            </w:r>
          </w:p>
        </w:tc>
        <w:tc>
          <w:tcPr>
            <w:tcW w:w="3176" w:type="dxa"/>
          </w:tcPr>
          <w:p w14:paraId="788A639C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0EE9BE18" w14:textId="77777777" w:rsidTr="005872E2">
        <w:tc>
          <w:tcPr>
            <w:tcW w:w="1684" w:type="dxa"/>
            <w:shd w:val="clear" w:color="auto" w:fill="auto"/>
          </w:tcPr>
          <w:p w14:paraId="57A51A87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Kontrolery LAN / FC</w:t>
            </w:r>
          </w:p>
        </w:tc>
        <w:tc>
          <w:tcPr>
            <w:tcW w:w="4286" w:type="dxa"/>
            <w:shd w:val="clear" w:color="auto" w:fill="auto"/>
          </w:tcPr>
          <w:p w14:paraId="73F79078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-Jedna dwuportowa karta x1Gbit/s ze wsparciem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niezajmująca slotu PCI Express; </w:t>
            </w:r>
          </w:p>
          <w:p w14:paraId="7B6E4D37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-Dodatkowa osobna karta 4x1GBit/s RJ-45 niezajmująca slotu PCI Express (dopuszcza się instalację w slocie PCI Express pod warunkiem dostarczenia serwera z większą niż wymagana ilości slotów PCI Express) </w:t>
            </w:r>
          </w:p>
          <w:p w14:paraId="51954079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- Dodatkowa (nisko-profilowa) osobna karta 2x16Gbit/s FC pasująca do slotu PCI Express</w:t>
            </w:r>
          </w:p>
        </w:tc>
        <w:tc>
          <w:tcPr>
            <w:tcW w:w="3176" w:type="dxa"/>
          </w:tcPr>
          <w:p w14:paraId="65D747C8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6619F1E4" w14:textId="77777777" w:rsidTr="005872E2">
        <w:tc>
          <w:tcPr>
            <w:tcW w:w="1684" w:type="dxa"/>
            <w:shd w:val="clear" w:color="auto" w:fill="auto"/>
          </w:tcPr>
          <w:p w14:paraId="382E4A8D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Porty</w:t>
            </w:r>
          </w:p>
        </w:tc>
        <w:tc>
          <w:tcPr>
            <w:tcW w:w="4286" w:type="dxa"/>
            <w:shd w:val="clear" w:color="auto" w:fill="auto"/>
          </w:tcPr>
          <w:p w14:paraId="62EEE706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-zintegrowana karta graficzna ze złączem VGA;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-2x USB 3.0 dostępne na froncie obudowy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-2x USB 3.0 dostępne z tyłu serwera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-1x USB 3.0 wewnątrz serwera 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>Ilość dostępnych złącz VGA i USB nie może być osiągnięta poprzez stosowanie zewnętrznych przejściówek, rozgałęziaczy czy dodatkowych kart rozszerzeń zajmujących jakikolwiek slot PCI Express serwera;</w:t>
            </w:r>
          </w:p>
        </w:tc>
        <w:tc>
          <w:tcPr>
            <w:tcW w:w="3176" w:type="dxa"/>
          </w:tcPr>
          <w:p w14:paraId="0221CF4A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324C6FC9" w14:textId="77777777" w:rsidTr="005872E2">
        <w:tc>
          <w:tcPr>
            <w:tcW w:w="1684" w:type="dxa"/>
            <w:shd w:val="clear" w:color="auto" w:fill="auto"/>
          </w:tcPr>
          <w:p w14:paraId="0C61B7E3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Zasilanie, chłodzenie</w:t>
            </w:r>
          </w:p>
        </w:tc>
        <w:tc>
          <w:tcPr>
            <w:tcW w:w="4286" w:type="dxa"/>
            <w:shd w:val="clear" w:color="auto" w:fill="auto"/>
          </w:tcPr>
          <w:p w14:paraId="1BD833D8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-Redundantne zasilacze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hotplug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o mocy maksimum 500W, o sprawności 94% (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tzw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klasa Platinum) -Redundantne wentylatory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hotplug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;</w:t>
            </w:r>
          </w:p>
        </w:tc>
        <w:tc>
          <w:tcPr>
            <w:tcW w:w="3176" w:type="dxa"/>
          </w:tcPr>
          <w:p w14:paraId="504997AC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5581D3A2" w14:textId="77777777" w:rsidTr="005872E2">
        <w:tc>
          <w:tcPr>
            <w:tcW w:w="1684" w:type="dxa"/>
            <w:shd w:val="clear" w:color="auto" w:fill="auto"/>
          </w:tcPr>
          <w:p w14:paraId="396944BE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Zarządzanie</w:t>
            </w:r>
          </w:p>
        </w:tc>
        <w:tc>
          <w:tcPr>
            <w:tcW w:w="4286" w:type="dxa"/>
            <w:shd w:val="clear" w:color="auto" w:fill="auto"/>
          </w:tcPr>
          <w:p w14:paraId="167EF4E2" w14:textId="6417D17C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-Wbudowane diody informacyjne lub wyświetlacz informujące o stanie serwera - system przewidywania, rozpoznawania awarii następujących komponentów: karty rozszerzeń zainstalowane w dowolnym slocie PCI Express, procesory CPU, pamięć RAM z dokładnością umożliwiającą jednoznaczną identyfikację uszkodzonego modułu pamięci RAM, status karty zrządzającej serwera, wentylatory, bateria podtrzymująca ustawienia BIOS/Płyty głównej, zasilacze - poprawność napięć elektrycznych płyty głównej  -Zintegrowany z płytą główną serwera kontroler sprzętowy zdalnego zarządzania zgodny z IPMI 2.0 o funkcjonalnościach: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Niezależny od systemu operacyjnego, sprzętowy kontroler umożliwiający pełne zarządzanie, zdalny restart serwera;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Dedykowana karta LAN 1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Gb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/s  (dedykowane złącze RJ-45 z tyłu obudowy) do komunikacji wyłącznie z kontrolerem zdalnego zarządzania z możliwością przeniesienia tej komunikacji na inną kartę sieciową współdzieloną z systemem operacyjnym;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Dostęp poprzez przeglądarkę Web (także SSL, SSH)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Zarządzanie mocą i jej zużyciem oraz monitoring zużycia energii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Zarządzanie alarmami (zdarzenia poprzez SNMP) • Możliwość przejęcia konsoli tekstowej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Przekierowanie konsoli graficznej na poziomie sprzętowym oraz możliwość montowania zdalnych napędów i ich obrazów na poziomie sprzętowym (cyfrowy KVM)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Sprzętowy monitoring serwera w tym stanu dysków twardych i kontrolera RAID (bez pośrednictwa agentów systemowych)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Karta zarządzająca musi sprzętowo wspierać wirtualizację warstwy sieciowej serwera, bez wykorzystania zewnętrznego hardware - wirtualizacja MAC i WWN na wybranych kartach zainstalowanych w serwerze (co najmniej wsparcie dla technologii kart 10Gbit/s Ethernet i kart FC 16Gbit/s oferowanych przez producenta serwera) 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itd.).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Możliwość zdalnej naprawy systemu operacyjnego uszkodzonego przez użytkownika, działanie wirusów i szkodliwego oprogramowania;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Możliwość konfiguracji i wykonania aktualizacji BIOS,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Firmware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sterowników serwera bezpośrednio z GUI (graficzny interfejs) karty zarządzającej serwera bez pośrednictwa innych nośników zewnętrznych i wewnętrznych poza obrębem karty zarządzającej (w szczególności bez pendrive, dysków twardych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wewn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. i zewn., itp.) – możliwość manualnego wykonania aktualizacji jak również możliwość automatyzacji;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Rozwiązanie musi umożliwiać konfigurację i uruchomienie automatycznego powiadomienia serwisu o zbliżającej się lub istniejącej usterce serwera (co najmniej dyski twarde, zasilacze, pamięć RAM, procesory, wentylatory, kontrolery RAID, karty rozszerzeń);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Możliwość zapisu i przechowywania informacji i logów o pełnym stanie maszyny, w tym usterki i sytuacje krytyczne w obrębie wbudowanej pamięci karty zarządzającej -  dostęp do tych informacji musi być niezależny od stanu włączenia serwera oraz stanu sprzętowego w tym np. usterki elementów poza kartą zarządzającą;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>• karta zarządzająca musi umożliwiać konfigurację i uruchomienie automatycznego informowania autoryzowanego serwisu producenta serwera o zaistniałej lub zbliżającej się usterce (wymagana jest możliwość automatycznego otworzenia zgłoszenia serwisowego w systemie producenta serwera). Jeżeli są wymagane jakiekolwiek dodatkowe licencje lub pakiety serwisowe potrzebne do uruchomienia automatycznego powiadamiania autoryzowanego serwisu o usterce należy takie elementy wliczyć do oferty – czas trwania minimum równy dla wymaganego okresu gwarancji producenta serwera;</w:t>
            </w:r>
          </w:p>
        </w:tc>
        <w:tc>
          <w:tcPr>
            <w:tcW w:w="3176" w:type="dxa"/>
          </w:tcPr>
          <w:p w14:paraId="1F853CFF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5D2DFEA1" w14:textId="77777777" w:rsidTr="005872E2">
        <w:tc>
          <w:tcPr>
            <w:tcW w:w="1684" w:type="dxa"/>
            <w:shd w:val="clear" w:color="auto" w:fill="auto"/>
          </w:tcPr>
          <w:p w14:paraId="70A0D540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Wspierane OS</w:t>
            </w:r>
          </w:p>
        </w:tc>
        <w:tc>
          <w:tcPr>
            <w:tcW w:w="4286" w:type="dxa"/>
            <w:shd w:val="clear" w:color="auto" w:fill="auto"/>
          </w:tcPr>
          <w:p w14:paraId="6521EB90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 Windows 2016 Hyper-V, Windows 2019,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VMWare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Suse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, RHEL - Wymagane licencje na system operacyjny Windows Server Standard 2019 na zaoferowaną liczbę rdzeni CPU</w:t>
            </w:r>
          </w:p>
        </w:tc>
        <w:tc>
          <w:tcPr>
            <w:tcW w:w="3176" w:type="dxa"/>
          </w:tcPr>
          <w:p w14:paraId="6156E221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40BBB3EA" w14:textId="77777777" w:rsidTr="005872E2">
        <w:tc>
          <w:tcPr>
            <w:tcW w:w="1684" w:type="dxa"/>
            <w:shd w:val="clear" w:color="auto" w:fill="auto"/>
          </w:tcPr>
          <w:p w14:paraId="488E3CE1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Gwarancja</w:t>
            </w:r>
          </w:p>
        </w:tc>
        <w:tc>
          <w:tcPr>
            <w:tcW w:w="4286" w:type="dxa"/>
            <w:shd w:val="clear" w:color="auto" w:fill="auto"/>
          </w:tcPr>
          <w:p w14:paraId="13C26E24" w14:textId="6CB89EA6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-36 miesięcy gwarancji producenta serwera w trybie 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onsite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z gwarantowanym czasem skutecznej naprawy serwera najpóźniej w następnym dniu roboczym od zgłoszenia usterki</w:t>
            </w:r>
            <w:r w:rsidR="005872E2"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.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Dostępność części zamiennych przez 5 lat od momentu zakupu serwera; -Wymagana jest bezpłatna dostępność poprawek i aktualizacji BIOS/</w:t>
            </w:r>
            <w:proofErr w:type="spellStart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Firmware</w:t>
            </w:r>
            <w:proofErr w:type="spellEnd"/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/sterowników dożywotnio dla oferowanego serwera – jeżeli funkcjonalność ta wymaga dodatkowego serwisu lub licencji producenta serwera takowa licencja musi być uwzględniona w konfiguracji;</w:t>
            </w:r>
          </w:p>
        </w:tc>
        <w:tc>
          <w:tcPr>
            <w:tcW w:w="3176" w:type="dxa"/>
          </w:tcPr>
          <w:p w14:paraId="25080BDC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C513EE" w14:paraId="3E4ACE8D" w14:textId="77777777" w:rsidTr="005872E2">
        <w:tc>
          <w:tcPr>
            <w:tcW w:w="1684" w:type="dxa"/>
            <w:shd w:val="clear" w:color="auto" w:fill="auto"/>
          </w:tcPr>
          <w:p w14:paraId="7BF1EC4C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Dokumentacja, inne</w:t>
            </w:r>
          </w:p>
        </w:tc>
        <w:tc>
          <w:tcPr>
            <w:tcW w:w="4286" w:type="dxa"/>
            <w:shd w:val="clear" w:color="auto" w:fill="auto"/>
          </w:tcPr>
          <w:p w14:paraId="13E50959" w14:textId="423026F5" w:rsidR="00CC011C" w:rsidRPr="00C513EE" w:rsidRDefault="00CC011C" w:rsidP="00663E19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Serwer musi być fabrycznie nowy i pochodzić z oficjalnego kanału dystrybucyjnego w Polsce - Wymagane oświadczenie producenta serwera, że oferowany do przetargu sprzęt spełnia ten wymóg; -Oferent zobowiązany jest dostarczyć wraz z ofertą kartę produktową oferowanego serwera umożliwiającą weryfikację parametrów oferowanego sprzętu</w:t>
            </w:r>
            <w:r w:rsidR="006367AD"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. </w:t>
            </w:r>
            <w:r w:rsidRPr="00C513EE">
              <w:rPr>
                <w:rFonts w:ascii="Arial" w:hAnsi="Arial" w:cs="Arial"/>
                <w:b w:val="0"/>
                <w:bCs/>
                <w:sz w:val="22"/>
                <w:szCs w:val="22"/>
              </w:rPr>
              <w:t>Możliwość aktualizacji i pobrania sterowników do oferowanego modelu serwera w najnowszych certyfikowanych wersjach bezpośrednio z sieci Internet za pośrednictwem strony www producenta serwera;</w:t>
            </w:r>
          </w:p>
        </w:tc>
        <w:tc>
          <w:tcPr>
            <w:tcW w:w="3176" w:type="dxa"/>
          </w:tcPr>
          <w:p w14:paraId="54A44DD5" w14:textId="77777777" w:rsidR="00CC011C" w:rsidRPr="00C513E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</w:tbl>
    <w:p w14:paraId="56E2DFD2" w14:textId="77777777" w:rsidR="00035112" w:rsidRPr="00C513EE" w:rsidRDefault="00035112" w:rsidP="00035112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2962FEE6" w14:textId="39467EB2" w:rsidR="00035112" w:rsidRPr="00C513EE" w:rsidRDefault="00164056" w:rsidP="006367AD">
      <w:pPr>
        <w:widowControl/>
        <w:autoSpaceDN/>
        <w:textAlignment w:val="auto"/>
        <w:rPr>
          <w:rFonts w:ascii="Arial" w:hAnsi="Arial" w:cs="Arial"/>
          <w:b/>
          <w:bCs/>
          <w:sz w:val="22"/>
          <w:szCs w:val="22"/>
        </w:rPr>
      </w:pPr>
      <w:r w:rsidRPr="00C513EE">
        <w:rPr>
          <w:rFonts w:ascii="Arial" w:hAnsi="Arial" w:cs="Arial"/>
          <w:sz w:val="22"/>
          <w:szCs w:val="22"/>
        </w:rPr>
        <w:br w:type="page"/>
      </w:r>
      <w:r w:rsidR="006367AD" w:rsidRPr="00C513EE">
        <w:rPr>
          <w:rFonts w:ascii="Arial" w:hAnsi="Arial" w:cs="Arial"/>
          <w:sz w:val="22"/>
          <w:szCs w:val="22"/>
        </w:rPr>
        <w:t xml:space="preserve">. </w:t>
      </w:r>
      <w:r w:rsidR="00035112" w:rsidRPr="00C513EE">
        <w:rPr>
          <w:rFonts w:ascii="Arial" w:hAnsi="Arial" w:cs="Arial"/>
          <w:bCs/>
          <w:sz w:val="22"/>
          <w:szCs w:val="22"/>
        </w:rPr>
        <w:t>Dostawa i instalacja SERWERA v2  – 1 szt.</w:t>
      </w:r>
    </w:p>
    <w:p w14:paraId="55D988DB" w14:textId="77777777" w:rsidR="00035112" w:rsidRPr="00C513EE" w:rsidRDefault="00035112" w:rsidP="00035112">
      <w:pPr>
        <w:keepNext/>
        <w:spacing w:before="120" w:after="120"/>
        <w:rPr>
          <w:rFonts w:ascii="Arial" w:hAnsi="Arial" w:cs="Arial"/>
          <w:sz w:val="22"/>
          <w:szCs w:val="22"/>
        </w:rPr>
      </w:pPr>
      <w:r w:rsidRPr="00C513EE">
        <w:rPr>
          <w:rFonts w:ascii="Arial" w:eastAsia="Calibri" w:hAnsi="Arial" w:cs="Arial"/>
          <w:sz w:val="22"/>
          <w:szCs w:val="22"/>
        </w:rPr>
        <w:t>Serwer o następujących minimalnych parametrach: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4120"/>
        <w:gridCol w:w="2938"/>
      </w:tblGrid>
      <w:tr w:rsidR="00CC011C" w:rsidRPr="00C513EE" w14:paraId="541F5592" w14:textId="77777777" w:rsidTr="006367AD">
        <w:tc>
          <w:tcPr>
            <w:tcW w:w="1904" w:type="dxa"/>
            <w:shd w:val="clear" w:color="auto" w:fill="auto"/>
          </w:tcPr>
          <w:p w14:paraId="15642875" w14:textId="77777777" w:rsidR="00CC011C" w:rsidRPr="00C513EE" w:rsidRDefault="00CC011C" w:rsidP="00000808">
            <w:pPr>
              <w:rPr>
                <w:rFonts w:ascii="Arial" w:hAnsi="Arial" w:cs="Arial"/>
                <w:sz w:val="22"/>
                <w:szCs w:val="22"/>
              </w:rPr>
            </w:pPr>
            <w:r w:rsidRPr="00C513EE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4207" w:type="dxa"/>
            <w:shd w:val="clear" w:color="auto" w:fill="auto"/>
          </w:tcPr>
          <w:p w14:paraId="3E70BD63" w14:textId="77777777" w:rsidR="00CC011C" w:rsidRPr="00C513EE" w:rsidRDefault="00CC011C" w:rsidP="00000808">
            <w:pPr>
              <w:rPr>
                <w:rFonts w:ascii="Arial" w:hAnsi="Arial" w:cs="Arial"/>
                <w:sz w:val="22"/>
                <w:szCs w:val="22"/>
              </w:rPr>
            </w:pPr>
            <w:r w:rsidRPr="00C513EE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3035" w:type="dxa"/>
          </w:tcPr>
          <w:p w14:paraId="061E513D" w14:textId="77777777" w:rsidR="00CC011C" w:rsidRPr="00C513EE" w:rsidRDefault="004C146E" w:rsidP="000008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Parametry oferowane</w:t>
            </w:r>
          </w:p>
        </w:tc>
      </w:tr>
      <w:tr w:rsidR="00CC011C" w:rsidRPr="00C513EE" w14:paraId="6A570E2A" w14:textId="77777777" w:rsidTr="006367AD">
        <w:tc>
          <w:tcPr>
            <w:tcW w:w="1904" w:type="dxa"/>
            <w:shd w:val="clear" w:color="auto" w:fill="auto"/>
          </w:tcPr>
          <w:p w14:paraId="512295A9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Obudowa</w:t>
            </w:r>
          </w:p>
        </w:tc>
        <w:tc>
          <w:tcPr>
            <w:tcW w:w="4207" w:type="dxa"/>
            <w:shd w:val="clear" w:color="auto" w:fill="auto"/>
          </w:tcPr>
          <w:p w14:paraId="36D4432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-Typu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wysokość maksimum 1U;  -Dostarczona wraz z szynami umożliwiającymi pełne wysunięcie serwera z szafy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oraz ramieniem porządkującym ułożenie przewodów w szafie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  <w:tc>
          <w:tcPr>
            <w:tcW w:w="3035" w:type="dxa"/>
          </w:tcPr>
          <w:p w14:paraId="0820B89D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534C5565" w14:textId="77777777" w:rsidTr="006367AD">
        <w:tc>
          <w:tcPr>
            <w:tcW w:w="1904" w:type="dxa"/>
            <w:shd w:val="clear" w:color="auto" w:fill="auto"/>
          </w:tcPr>
          <w:p w14:paraId="28C744C4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Płyta główna</w:t>
            </w:r>
          </w:p>
        </w:tc>
        <w:tc>
          <w:tcPr>
            <w:tcW w:w="4207" w:type="dxa"/>
            <w:shd w:val="clear" w:color="auto" w:fill="auto"/>
          </w:tcPr>
          <w:p w14:paraId="7FA5CF11" w14:textId="62D0F6BB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-Dwuprocesorowa, możliwość instalacji procesorów dwudziestoośmiordzeniowych;  -wyposażona w minimum 24 gniazda pamięci RAM DDR4, obsługa minimum 3000GB pamięci RAM DDR4 2966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Mhz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;  -Oferowany model serwera musi obsługiwać pamięć nieulotną instalowaną w gniazdach pamięci RAM o pojemności sumarycznej minimum 1000GB (przez pamięć nieulotną rozumie się moduły pamięci zachowujące swój stan np. w przypadku nagłej awarii zasilania, nie dopuszcza się podtrzymania bateryjnego stanu pamięci)  -Minimum 2 sloty dla dysków M.2 na płycie głównej (lub dedykowanej karcie PCI Express) nie zajmujące klatek dla dysków hot-plug; (Możliwość integracji dedykowanej, wewnętrznej pamięci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flash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przeznaczonej dla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wirtualizatora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w slocie M.2 bez zajmowania klatek dyskowych serwera);   -Możliwość instalacji nadmiarowego nośnika SD lub M2 o pojemności minimum 64GB na  potrzeby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wirtualizatora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(wymagany RAID 1 obsługiwany przez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VMWare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3035" w:type="dxa"/>
          </w:tcPr>
          <w:p w14:paraId="1705C467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1B2C8F47" w14:textId="77777777" w:rsidTr="006367AD">
        <w:tc>
          <w:tcPr>
            <w:tcW w:w="1904" w:type="dxa"/>
            <w:shd w:val="clear" w:color="auto" w:fill="auto"/>
          </w:tcPr>
          <w:p w14:paraId="3274E373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Procesory</w:t>
            </w:r>
          </w:p>
        </w:tc>
        <w:tc>
          <w:tcPr>
            <w:tcW w:w="4207" w:type="dxa"/>
            <w:shd w:val="clear" w:color="auto" w:fill="auto"/>
          </w:tcPr>
          <w:p w14:paraId="494691DC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-Zainstalowane dwa procesory 16-rdzeniowe o podstawowym taktowaniu 2,1GHz; pamięci TLC min. 11 MB</w:t>
            </w:r>
          </w:p>
        </w:tc>
        <w:tc>
          <w:tcPr>
            <w:tcW w:w="3035" w:type="dxa"/>
          </w:tcPr>
          <w:p w14:paraId="3356920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43B9AE7D" w14:textId="77777777" w:rsidTr="006367AD">
        <w:tc>
          <w:tcPr>
            <w:tcW w:w="1904" w:type="dxa"/>
            <w:shd w:val="clear" w:color="auto" w:fill="auto"/>
          </w:tcPr>
          <w:p w14:paraId="178158E2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Pamięć RAM  </w:t>
            </w:r>
          </w:p>
        </w:tc>
        <w:tc>
          <w:tcPr>
            <w:tcW w:w="4207" w:type="dxa"/>
            <w:shd w:val="clear" w:color="auto" w:fill="auto"/>
          </w:tcPr>
          <w:p w14:paraId="583B918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-Zainstalowane 128 GB pamięci RAM typu DDR4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Registered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2933Mhz w kościach o pojemności 32GB;  -Wsparcie dla technologii zabezpieczania pamięci Advanced ECC, Memory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Scrubbing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>, SDDC lub równoważnej;  -wsparcie serwera dla konfiguracji kopii lustrzanej pamięci RAM;</w:t>
            </w:r>
          </w:p>
        </w:tc>
        <w:tc>
          <w:tcPr>
            <w:tcW w:w="3035" w:type="dxa"/>
          </w:tcPr>
          <w:p w14:paraId="004A76BC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3EB6B314" w14:textId="77777777" w:rsidTr="006367AD">
        <w:tc>
          <w:tcPr>
            <w:tcW w:w="1904" w:type="dxa"/>
            <w:shd w:val="clear" w:color="auto" w:fill="auto"/>
          </w:tcPr>
          <w:p w14:paraId="4567C0FC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Kontrolery  dyskowe, I/O</w:t>
            </w:r>
          </w:p>
        </w:tc>
        <w:tc>
          <w:tcPr>
            <w:tcW w:w="4207" w:type="dxa"/>
            <w:shd w:val="clear" w:color="auto" w:fill="auto"/>
          </w:tcPr>
          <w:p w14:paraId="38636807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-Kontroler SAS/SATA, obsługa minimum 4 dysków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hotplug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>, RAID 0, 1, 10, 5, 50, 6, 60, z pamięcią podręczną cache min. 2GB</w:t>
            </w:r>
          </w:p>
        </w:tc>
        <w:tc>
          <w:tcPr>
            <w:tcW w:w="3035" w:type="dxa"/>
          </w:tcPr>
          <w:p w14:paraId="589A9E4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175943ED" w14:textId="77777777" w:rsidTr="006367AD">
        <w:tc>
          <w:tcPr>
            <w:tcW w:w="1904" w:type="dxa"/>
            <w:shd w:val="clear" w:color="auto" w:fill="auto"/>
          </w:tcPr>
          <w:p w14:paraId="0200E35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Dyski twarde</w:t>
            </w:r>
          </w:p>
        </w:tc>
        <w:tc>
          <w:tcPr>
            <w:tcW w:w="4207" w:type="dxa"/>
            <w:shd w:val="clear" w:color="auto" w:fill="auto"/>
          </w:tcPr>
          <w:p w14:paraId="771DD7EB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Minimum 4 wnęki dla dysków 2,5 cala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Hotplug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>;  Zainstalowane minimum 2 dyski  240GB SSD 6Gb SATA, o 3.6 DWPD</w:t>
            </w:r>
          </w:p>
        </w:tc>
        <w:tc>
          <w:tcPr>
            <w:tcW w:w="3035" w:type="dxa"/>
          </w:tcPr>
          <w:p w14:paraId="4EF13A60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49FD6AA1" w14:textId="77777777" w:rsidTr="006367AD">
        <w:tc>
          <w:tcPr>
            <w:tcW w:w="1904" w:type="dxa"/>
            <w:shd w:val="clear" w:color="auto" w:fill="auto"/>
          </w:tcPr>
          <w:p w14:paraId="4EB495E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Kontrolery LAN / FC</w:t>
            </w:r>
          </w:p>
        </w:tc>
        <w:tc>
          <w:tcPr>
            <w:tcW w:w="4207" w:type="dxa"/>
            <w:shd w:val="clear" w:color="auto" w:fill="auto"/>
          </w:tcPr>
          <w:p w14:paraId="00E751E1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-Jedna dwuportowa karta x1Gbit/s ze wsparciem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>, niezajmująca slotu PCI Express;    -Dodatkowa osobna karta 4x1GBit/s RJ-45 niezajmująca slotu PCI Express (dopuszcza się instalację w slocie PCI Express pod warunkiem dostarczenia serwera z większą niż wymagana ilości slotów PCI Express)    - Dodatkowa (nisko-profilowa) osobna karta 2x16Gbit/s FC pasująca do slotu PCI Express</w:t>
            </w:r>
          </w:p>
        </w:tc>
        <w:tc>
          <w:tcPr>
            <w:tcW w:w="3035" w:type="dxa"/>
          </w:tcPr>
          <w:p w14:paraId="453CD67E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0946701A" w14:textId="77777777" w:rsidTr="006367AD">
        <w:tc>
          <w:tcPr>
            <w:tcW w:w="1904" w:type="dxa"/>
            <w:shd w:val="clear" w:color="auto" w:fill="auto"/>
          </w:tcPr>
          <w:p w14:paraId="19F0730A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Porty</w:t>
            </w:r>
          </w:p>
        </w:tc>
        <w:tc>
          <w:tcPr>
            <w:tcW w:w="4207" w:type="dxa"/>
            <w:shd w:val="clear" w:color="auto" w:fill="auto"/>
          </w:tcPr>
          <w:p w14:paraId="387A043A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-zintegrowana karta graficzna ze złączem VGA;  -2x USB 3.0 dostępne na froncie obudowy  -2x USB 3.0 dostępne z tyłu serwera  -1x USB 3.0 wewnątrz serwera   Ilość dostępnych złącz VGA i USB nie może być osiągnięta poprzez stosowanie zewnętrznych przejściówek, rozgałęziaczy czy dodatkowych kart rozszerzeń zajmujących jakikolwiek slot PCI Express serwera;</w:t>
            </w:r>
          </w:p>
        </w:tc>
        <w:tc>
          <w:tcPr>
            <w:tcW w:w="3035" w:type="dxa"/>
          </w:tcPr>
          <w:p w14:paraId="3C00E463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73764992" w14:textId="77777777" w:rsidTr="006367AD">
        <w:tc>
          <w:tcPr>
            <w:tcW w:w="1904" w:type="dxa"/>
            <w:shd w:val="clear" w:color="auto" w:fill="auto"/>
          </w:tcPr>
          <w:p w14:paraId="6E47498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Zasilanie, chłodzenie</w:t>
            </w:r>
          </w:p>
        </w:tc>
        <w:tc>
          <w:tcPr>
            <w:tcW w:w="4207" w:type="dxa"/>
            <w:shd w:val="clear" w:color="auto" w:fill="auto"/>
          </w:tcPr>
          <w:p w14:paraId="3FDC565F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-Redundantne zasilacze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hotplug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o mocy maksimum 500W, o sprawności 94% (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tzw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klasa Platinum)  -Redundantne wentylatory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hotplug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  <w:tc>
          <w:tcPr>
            <w:tcW w:w="3035" w:type="dxa"/>
          </w:tcPr>
          <w:p w14:paraId="02EA5973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19AC7700" w14:textId="77777777" w:rsidTr="006367AD">
        <w:tc>
          <w:tcPr>
            <w:tcW w:w="1904" w:type="dxa"/>
            <w:shd w:val="clear" w:color="auto" w:fill="auto"/>
          </w:tcPr>
          <w:p w14:paraId="1BF15A1C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Zarządzanie</w:t>
            </w:r>
          </w:p>
        </w:tc>
        <w:tc>
          <w:tcPr>
            <w:tcW w:w="4207" w:type="dxa"/>
            <w:shd w:val="clear" w:color="auto" w:fill="auto"/>
          </w:tcPr>
          <w:p w14:paraId="151A9627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-Wbudowane diody informacyjne lub wyświetlacz informujące o stanie serwera - system przewidywania, rozpoznawania awarii następujących komponentów: karty rozszerzeń zainstalowane w dowolnym slocie PCI Express, procesory CPU, pamięć RAM z dokładnością umożliwiającą jednoznaczną identyfikację uszkodzonego modułu pamięci RAM, status karty zrządzającej serwera, wentylatory, bateria podtrzymująca ustawienia BIOS/Płyty głównej, zasilacze - poprawność napięć elektrycznych płyty głównej   -Zintegrowany z płytą główną serwera kontroler sprzętowy zdalnego zarządzania zgodny z IPMI 2.0 o funkcjonalnościach:</w:t>
            </w:r>
          </w:p>
          <w:p w14:paraId="37FF0F90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Niezależny od systemu operacyjnego, sprzętowy kontroler umożliwiający pełne zarządzanie, zdalny restart serwera;  </w:t>
            </w:r>
          </w:p>
          <w:p w14:paraId="4F04E66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Dedykowana karta LAN 1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Gb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/s  (dedykowane złącze RJ-45 z tyłu obudowy) do komunikacji wyłącznie z kontrolerem zdalnego zarządzania z możliwością przeniesienia tej komunikacji na inną kartę sieciową współdzieloną z systemem operacyjnym;  </w:t>
            </w:r>
          </w:p>
          <w:p w14:paraId="0A079DCA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Dostęp poprzez przeglądarkę Web (także SSL, SSH)  </w:t>
            </w:r>
          </w:p>
          <w:p w14:paraId="613D13D7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Zarządzanie mocą i jej zużyciem oraz monitoring zużycia energii  </w:t>
            </w:r>
          </w:p>
          <w:p w14:paraId="7F2F078D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Zarządzanie alarmami (zdarzenia poprzez SNMP)  </w:t>
            </w:r>
          </w:p>
          <w:p w14:paraId="4A41B45E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Możliwość przejęcia konsoli tekstowej  </w:t>
            </w:r>
          </w:p>
          <w:p w14:paraId="55B155A3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Przekierowanie konsoli graficznej na poziomie sprzętowym oraz możliwość montowania zdalnych napędów i ich obrazów na poziomie sprzętowym (cyfrowy KVM)  </w:t>
            </w:r>
          </w:p>
          <w:p w14:paraId="0F2F1FBD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Sprzętowy monitoring serwera w tym stanu dysków twardych i kontrolera RAID (bez pośrednictwa agentów systemowych)  </w:t>
            </w:r>
          </w:p>
          <w:p w14:paraId="1DE1611E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Karta zarządzająca musi sprzętowo wspierać wirtualizację warstwy sieciowej serwera, bez wykorzystania zewnętrznego hardware - wirtualizacja MAC i WWN na wybranych kartach zainstalowanych w serwerze (co najmniej wsparcie dla technologii kart  10Gbit/s Ethernet i kart FC 16Gbit/s oferowanych przez producenta serwera)   </w:t>
            </w:r>
          </w:p>
          <w:p w14:paraId="6A576C00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itd.). </w:t>
            </w:r>
          </w:p>
          <w:p w14:paraId="709B4F59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Możliwość zdalnej naprawy systemu operacyjnego uszkodzonego przez użytkownika, działanie wirusów i szkodliwego oprogramowania;  </w:t>
            </w:r>
          </w:p>
          <w:p w14:paraId="5F61AE09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Możliwość konfiguracji i wykonania aktualizacji BIOS,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Firmware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, sterowników serwera bezpośrednio z GUI (graficzny interfejs) karty zarządzającej serwera bez pośrednictwa innych nośników zewnętrznych i wewnętrznych poza obrębem karty zarządzającej (w szczególności bez pendrive, dysków twardych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wewn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. i zewn., itp.) – możliwość manualnego wykonania aktualizacji jak również możliwość automatyzacji;  </w:t>
            </w:r>
          </w:p>
          <w:p w14:paraId="415E6B6E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Rozwiązanie musi umożliwiać konfigurację i uruchomienie automatycznego powiadomienia serwisu o zbliżającej się lub istniejącej usterce serwera (co najmniej dyski twarde, zasilacze, pamięć RAM, procesory, wentylatory, kontrolery RAID, karty rozszerzeń); </w:t>
            </w:r>
          </w:p>
          <w:p w14:paraId="5E4C44D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• Możliwość zapisu i przechowywania informacji i logów o pełnym stanie maszyny, w tym usterki i sytuacje krytyczne w obrębie wbudowanej pamięci karty zarządzającej -  dostęp do tych informacji musi być niezależny od stanu włączenia serwera oraz stanu sprzętowego w tym np. usterki elementów poza kartą zarządzającą;  </w:t>
            </w:r>
          </w:p>
          <w:p w14:paraId="2EF99278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• karta zarządzająca musi umożliwiać konfigurację i uruchomienie automatycznego informowania autoryzowanego serwisu producenta serwera o zaistniałej lub zbliżającej się usterce (wymagana jest możliwość automatycznego otworzenia zgłoszenia serwisowego w systemie producenta serwera). Jeżeli są wymagane jakiekolwiek dodatkowe licencje lub pakiety serwisowe potrzebne do uruchomienia automatycznego powiadamiania autoryzowanego serwisu o usterce należy takie elementy wliczyć do oferty – czas trwania minimum równy dla wymaganego okresu gwarancji producenta serwera;</w:t>
            </w:r>
          </w:p>
        </w:tc>
        <w:tc>
          <w:tcPr>
            <w:tcW w:w="3035" w:type="dxa"/>
          </w:tcPr>
          <w:p w14:paraId="3774DF6F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151652C5" w14:textId="77777777" w:rsidTr="006367AD">
        <w:tc>
          <w:tcPr>
            <w:tcW w:w="1904" w:type="dxa"/>
            <w:shd w:val="clear" w:color="auto" w:fill="auto"/>
          </w:tcPr>
          <w:p w14:paraId="085DEE08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Wspierane OS</w:t>
            </w:r>
          </w:p>
        </w:tc>
        <w:tc>
          <w:tcPr>
            <w:tcW w:w="4207" w:type="dxa"/>
            <w:shd w:val="clear" w:color="auto" w:fill="auto"/>
          </w:tcPr>
          <w:p w14:paraId="168150C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Windows 2016 Hyper-V, Windows 2019, VMWare,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  <w:lang w:val="en-US"/>
              </w:rPr>
              <w:t>Suse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  <w:lang w:val="en-US"/>
              </w:rPr>
              <w:t>, RHEL</w:t>
            </w:r>
          </w:p>
        </w:tc>
        <w:tc>
          <w:tcPr>
            <w:tcW w:w="3035" w:type="dxa"/>
          </w:tcPr>
          <w:p w14:paraId="7A046151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C011C" w:rsidRPr="00C513EE" w14:paraId="1176F65C" w14:textId="77777777" w:rsidTr="006367AD">
        <w:tc>
          <w:tcPr>
            <w:tcW w:w="1904" w:type="dxa"/>
            <w:shd w:val="clear" w:color="auto" w:fill="auto"/>
          </w:tcPr>
          <w:p w14:paraId="14720A3D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Oprogramowanie</w:t>
            </w:r>
          </w:p>
        </w:tc>
        <w:tc>
          <w:tcPr>
            <w:tcW w:w="4207" w:type="dxa"/>
            <w:shd w:val="clear" w:color="auto" w:fill="auto"/>
          </w:tcPr>
          <w:p w14:paraId="75FF8240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- Wymagane licencje na system operacyjny Windows Server Standard 2019 na zaoferowaną      liczbę procesorów i rdzeni CPU  - Dodatkowe 3 licencje Windows Server Standard 2019 wersje 16 procesorowe</w:t>
            </w:r>
          </w:p>
        </w:tc>
        <w:tc>
          <w:tcPr>
            <w:tcW w:w="3035" w:type="dxa"/>
          </w:tcPr>
          <w:p w14:paraId="6634C503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C513EE" w14:paraId="2B3C8272" w14:textId="77777777" w:rsidTr="006367AD">
        <w:tc>
          <w:tcPr>
            <w:tcW w:w="1904" w:type="dxa"/>
            <w:shd w:val="clear" w:color="auto" w:fill="auto"/>
          </w:tcPr>
          <w:p w14:paraId="1BD5DAFA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Gwarancja</w:t>
            </w:r>
          </w:p>
        </w:tc>
        <w:tc>
          <w:tcPr>
            <w:tcW w:w="4207" w:type="dxa"/>
            <w:shd w:val="clear" w:color="auto" w:fill="auto"/>
          </w:tcPr>
          <w:p w14:paraId="763E5B18" w14:textId="3903BF7D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-36 miesięcy gwarancji producenta serwera w trybie 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onsite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 xml:space="preserve"> z gwarantowanym czasem skutecznej naprawy serwera najpóźniej w następnym dniu roboczym od zgłoszenia usterki  Dostępność części zamiennych przez 5 lat od momentu zakupu serwera;  -Wymagana jest bezpłatna dostępność poprawek i aktualizacji BIOS/</w:t>
            </w:r>
            <w:proofErr w:type="spellStart"/>
            <w:r w:rsidRPr="00C513EE">
              <w:rPr>
                <w:rFonts w:ascii="Arial" w:hAnsi="Arial" w:cs="Arial"/>
                <w:bCs/>
                <w:sz w:val="22"/>
                <w:szCs w:val="22"/>
              </w:rPr>
              <w:t>Firmware</w:t>
            </w:r>
            <w:proofErr w:type="spellEnd"/>
            <w:r w:rsidRPr="00C513EE">
              <w:rPr>
                <w:rFonts w:ascii="Arial" w:hAnsi="Arial" w:cs="Arial"/>
                <w:bCs/>
                <w:sz w:val="22"/>
                <w:szCs w:val="22"/>
              </w:rPr>
              <w:t>/sterowników dożywotnio dla oferowanego serwera – jeżeli funkcjonalność ta wymaga dodatkowego serwisu lub licencji producenta serwera takowa licencja musi być uwzględniona w konfiguracji</w:t>
            </w:r>
          </w:p>
        </w:tc>
        <w:tc>
          <w:tcPr>
            <w:tcW w:w="3035" w:type="dxa"/>
          </w:tcPr>
          <w:p w14:paraId="5139A35A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425977F0" w14:textId="77777777" w:rsidTr="006367AD">
        <w:tc>
          <w:tcPr>
            <w:tcW w:w="1904" w:type="dxa"/>
            <w:shd w:val="clear" w:color="auto" w:fill="auto"/>
          </w:tcPr>
          <w:p w14:paraId="4B652595" w14:textId="77777777" w:rsidR="00CC011C" w:rsidRPr="00C513E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Dokumentacja, inne</w:t>
            </w:r>
          </w:p>
        </w:tc>
        <w:tc>
          <w:tcPr>
            <w:tcW w:w="4207" w:type="dxa"/>
            <w:shd w:val="clear" w:color="auto" w:fill="auto"/>
          </w:tcPr>
          <w:p w14:paraId="025F9AA0" w14:textId="09E533E0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13EE">
              <w:rPr>
                <w:rFonts w:ascii="Arial" w:hAnsi="Arial" w:cs="Arial"/>
                <w:bCs/>
                <w:sz w:val="22"/>
                <w:szCs w:val="22"/>
              </w:rPr>
              <w:t>Serwer musi być fabrycznie nowy i pochodzić z oficjalnego kanału dystrybucyjnego w Polsce - Wymagane oświadczenie producenta serwera, że oferowany do przetargu sprzęt spełnia ten wymóg;  -Oferent zobowiązany jest dostarczyć wraz z ofertą kartę produktową oferowanego serwera umożliwiającą weryfikację parametrów oferowanego sprzętu</w:t>
            </w:r>
            <w:r w:rsidR="005872E2" w:rsidRPr="00C513E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C513EE">
              <w:rPr>
                <w:rFonts w:ascii="Arial" w:hAnsi="Arial" w:cs="Arial"/>
                <w:bCs/>
                <w:sz w:val="22"/>
                <w:szCs w:val="22"/>
              </w:rPr>
              <w:t>Możliwość aktualizacji i pobrania sterowników do oferowanego modelu serwera w  najnowszych certyfikowanych wersjach bezpośrednio z sieci Internet za pośrednictwem strony www producenta serwera;</w:t>
            </w: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035" w:type="dxa"/>
          </w:tcPr>
          <w:p w14:paraId="28BBA945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D5B01AF" w14:textId="77777777" w:rsidR="007B5B0C" w:rsidRPr="004C146E" w:rsidRDefault="007B5B0C">
      <w:pPr>
        <w:widowControl/>
        <w:autoSpaceDN/>
        <w:textAlignment w:val="auto"/>
        <w:rPr>
          <w:rFonts w:ascii="Arial" w:hAnsi="Arial" w:cs="Arial"/>
          <w:b/>
          <w:sz w:val="22"/>
          <w:szCs w:val="22"/>
        </w:rPr>
      </w:pPr>
    </w:p>
    <w:sectPr w:rsidR="007B5B0C" w:rsidRPr="004C146E" w:rsidSect="00C56E63">
      <w:headerReference w:type="default" r:id="rId8"/>
      <w:headerReference w:type="first" r:id="rId9"/>
      <w:footerReference w:type="first" r:id="rId10"/>
      <w:pgSz w:w="11906" w:h="16838"/>
      <w:pgMar w:top="1134" w:right="1558" w:bottom="1134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A4C3C" w14:textId="77777777" w:rsidR="00777D7C" w:rsidRDefault="00777D7C">
      <w:r>
        <w:separator/>
      </w:r>
    </w:p>
  </w:endnote>
  <w:endnote w:type="continuationSeparator" w:id="0">
    <w:p w14:paraId="02E35C10" w14:textId="77777777" w:rsidR="00777D7C" w:rsidRDefault="0077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BF7641" w14:paraId="5B46E0DC" w14:textId="77777777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14:paraId="2F628595" w14:textId="77777777" w:rsidR="00BF7641" w:rsidRDefault="00BF7641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14:paraId="71AB7F7D" w14:textId="77777777" w:rsidR="00BF7641" w:rsidRPr="00ED0AF9" w:rsidRDefault="00BF7641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</w:p>
      </w:tc>
    </w:tr>
  </w:tbl>
  <w:p w14:paraId="492D3AE7" w14:textId="77777777" w:rsidR="00BF7641" w:rsidRDefault="00BF7641" w:rsidP="002E781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AAC70" w14:textId="77777777" w:rsidR="00777D7C" w:rsidRDefault="00777D7C">
      <w:r>
        <w:rPr>
          <w:color w:val="000000"/>
        </w:rPr>
        <w:separator/>
      </w:r>
    </w:p>
  </w:footnote>
  <w:footnote w:type="continuationSeparator" w:id="0">
    <w:p w14:paraId="517DF2B7" w14:textId="77777777" w:rsidR="00777D7C" w:rsidRDefault="0077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F9A7D" w14:textId="77777777" w:rsidR="00BF7641" w:rsidRDefault="00BF7641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2052"/>
      <w:gridCol w:w="6878"/>
    </w:tblGrid>
    <w:tr w:rsidR="00BF7641" w:rsidRPr="00D039AB" w14:paraId="256E7673" w14:textId="77777777" w:rsidTr="00533D9B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1A0EE2BE" w14:textId="77777777" w:rsidR="00BF7641" w:rsidRPr="00D039AB" w:rsidRDefault="00BF7641" w:rsidP="00D039AB">
          <w:pPr>
            <w:tabs>
              <w:tab w:val="center" w:pos="4536"/>
              <w:tab w:val="right" w:pos="9072"/>
            </w:tabs>
            <w:rPr>
              <w:szCs w:val="21"/>
            </w:rPr>
          </w:pPr>
        </w:p>
      </w:tc>
      <w:tc>
        <w:tcPr>
          <w:tcW w:w="7543" w:type="dxa"/>
          <w:shd w:val="clear" w:color="auto" w:fill="auto"/>
          <w:vAlign w:val="center"/>
        </w:tcPr>
        <w:p w14:paraId="481D41B4" w14:textId="77777777" w:rsidR="00BF7641" w:rsidRPr="00D039AB" w:rsidRDefault="00BF7641" w:rsidP="00D039AB">
          <w:pPr>
            <w:suppressAutoHyphens/>
            <w:jc w:val="center"/>
            <w:rPr>
              <w:rFonts w:ascii="Tahoma" w:hAnsi="Tahoma" w:cs="Tahoma"/>
              <w:sz w:val="20"/>
            </w:rPr>
          </w:pPr>
        </w:p>
      </w:tc>
    </w:tr>
  </w:tbl>
  <w:p w14:paraId="19C2EE60" w14:textId="77777777" w:rsidR="00BF7641" w:rsidRDefault="00BF76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 w15:restartNumberingAfterBreak="0">
    <w:nsid w:val="06412826"/>
    <w:multiLevelType w:val="hybridMultilevel"/>
    <w:tmpl w:val="DF460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16CC"/>
    <w:multiLevelType w:val="hybridMultilevel"/>
    <w:tmpl w:val="92FEA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0BC1"/>
    <w:multiLevelType w:val="multilevel"/>
    <w:tmpl w:val="5B788D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" w15:restartNumberingAfterBreak="0">
    <w:nsid w:val="100410F3"/>
    <w:multiLevelType w:val="hybridMultilevel"/>
    <w:tmpl w:val="359C1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1FB1E1D"/>
    <w:multiLevelType w:val="hybridMultilevel"/>
    <w:tmpl w:val="DC1490DC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337B3517"/>
    <w:multiLevelType w:val="hybridMultilevel"/>
    <w:tmpl w:val="441C6B9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67317"/>
    <w:multiLevelType w:val="hybridMultilevel"/>
    <w:tmpl w:val="11787DD8"/>
    <w:lvl w:ilvl="0" w:tplc="01CEB234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67ED"/>
    <w:multiLevelType w:val="hybridMultilevel"/>
    <w:tmpl w:val="53B2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80FB3"/>
    <w:multiLevelType w:val="hybridMultilevel"/>
    <w:tmpl w:val="22300B44"/>
    <w:lvl w:ilvl="0" w:tplc="8D6AA83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C2248"/>
    <w:multiLevelType w:val="hybridMultilevel"/>
    <w:tmpl w:val="AB766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5F34"/>
    <w:multiLevelType w:val="hybridMultilevel"/>
    <w:tmpl w:val="4F84DF90"/>
    <w:lvl w:ilvl="0" w:tplc="43E041E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43AC"/>
    <w:multiLevelType w:val="hybridMultilevel"/>
    <w:tmpl w:val="3EBA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4E8"/>
    <w:multiLevelType w:val="multilevel"/>
    <w:tmpl w:val="6EAEA5A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150CE"/>
    <w:multiLevelType w:val="hybridMultilevel"/>
    <w:tmpl w:val="869CA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E63DD"/>
    <w:multiLevelType w:val="hybridMultilevel"/>
    <w:tmpl w:val="96129F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80AEC"/>
    <w:multiLevelType w:val="multilevel"/>
    <w:tmpl w:val="3D5690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8" w15:restartNumberingAfterBreak="0">
    <w:nsid w:val="63E74E51"/>
    <w:multiLevelType w:val="hybridMultilevel"/>
    <w:tmpl w:val="6EFA0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9772B"/>
    <w:multiLevelType w:val="hybridMultilevel"/>
    <w:tmpl w:val="0FAA6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6223C"/>
    <w:multiLevelType w:val="hybridMultilevel"/>
    <w:tmpl w:val="068A22B0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95C99"/>
    <w:multiLevelType w:val="hybridMultilevel"/>
    <w:tmpl w:val="C8A28A04"/>
    <w:lvl w:ilvl="0" w:tplc="4DBA39F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362B2"/>
    <w:multiLevelType w:val="hybridMultilevel"/>
    <w:tmpl w:val="1940EB8C"/>
    <w:lvl w:ilvl="0" w:tplc="01CEB234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16E77"/>
    <w:multiLevelType w:val="hybridMultilevel"/>
    <w:tmpl w:val="A4FE28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00986"/>
    <w:multiLevelType w:val="hybridMultilevel"/>
    <w:tmpl w:val="C27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20"/>
  </w:num>
  <w:num w:numId="6">
    <w:abstractNumId w:val="17"/>
  </w:num>
  <w:num w:numId="7">
    <w:abstractNumId w:val="21"/>
  </w:num>
  <w:num w:numId="8">
    <w:abstractNumId w:val="16"/>
  </w:num>
  <w:num w:numId="9">
    <w:abstractNumId w:val="2"/>
  </w:num>
  <w:num w:numId="10">
    <w:abstractNumId w:val="15"/>
  </w:num>
  <w:num w:numId="11">
    <w:abstractNumId w:val="19"/>
  </w:num>
  <w:num w:numId="12">
    <w:abstractNumId w:val="11"/>
  </w:num>
  <w:num w:numId="13">
    <w:abstractNumId w:val="18"/>
  </w:num>
  <w:num w:numId="14">
    <w:abstractNumId w:val="3"/>
  </w:num>
  <w:num w:numId="15">
    <w:abstractNumId w:val="12"/>
  </w:num>
  <w:num w:numId="16">
    <w:abstractNumId w:val="6"/>
  </w:num>
  <w:num w:numId="17">
    <w:abstractNumId w:val="7"/>
  </w:num>
  <w:num w:numId="18">
    <w:abstractNumId w:val="22"/>
  </w:num>
  <w:num w:numId="19">
    <w:abstractNumId w:val="8"/>
  </w:num>
  <w:num w:numId="20">
    <w:abstractNumId w:val="10"/>
  </w:num>
  <w:num w:numId="21">
    <w:abstractNumId w:val="14"/>
  </w:num>
  <w:num w:numId="22">
    <w:abstractNumId w:val="23"/>
  </w:num>
  <w:num w:numId="23">
    <w:abstractNumId w:val="0"/>
    <w:lvlOverride w:ilvl="0">
      <w:startOverride w:val="1"/>
    </w:lvlOverride>
  </w:num>
  <w:num w:numId="24">
    <w:abstractNumId w:val="4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F9"/>
    <w:rsid w:val="00000808"/>
    <w:rsid w:val="000221D5"/>
    <w:rsid w:val="00035112"/>
    <w:rsid w:val="00037CB7"/>
    <w:rsid w:val="00040C11"/>
    <w:rsid w:val="0004127F"/>
    <w:rsid w:val="000514A4"/>
    <w:rsid w:val="0006491A"/>
    <w:rsid w:val="00093B6D"/>
    <w:rsid w:val="00097A4D"/>
    <w:rsid w:val="000F759B"/>
    <w:rsid w:val="00110059"/>
    <w:rsid w:val="00110B80"/>
    <w:rsid w:val="00122D19"/>
    <w:rsid w:val="00132D72"/>
    <w:rsid w:val="001468CD"/>
    <w:rsid w:val="00163D4C"/>
    <w:rsid w:val="00164056"/>
    <w:rsid w:val="0018452F"/>
    <w:rsid w:val="001912AE"/>
    <w:rsid w:val="00196E88"/>
    <w:rsid w:val="001B175D"/>
    <w:rsid w:val="001C3541"/>
    <w:rsid w:val="001C65CF"/>
    <w:rsid w:val="001E590E"/>
    <w:rsid w:val="001F4538"/>
    <w:rsid w:val="002027C6"/>
    <w:rsid w:val="002046C2"/>
    <w:rsid w:val="00213297"/>
    <w:rsid w:val="002156CC"/>
    <w:rsid w:val="00262C9D"/>
    <w:rsid w:val="00263C71"/>
    <w:rsid w:val="002658C1"/>
    <w:rsid w:val="00266E04"/>
    <w:rsid w:val="00267FF8"/>
    <w:rsid w:val="002722D9"/>
    <w:rsid w:val="00275182"/>
    <w:rsid w:val="002908C9"/>
    <w:rsid w:val="0029369D"/>
    <w:rsid w:val="002D03BE"/>
    <w:rsid w:val="002E7814"/>
    <w:rsid w:val="00316E3E"/>
    <w:rsid w:val="00320948"/>
    <w:rsid w:val="003523B0"/>
    <w:rsid w:val="003A4CCA"/>
    <w:rsid w:val="003B6AC7"/>
    <w:rsid w:val="003C0550"/>
    <w:rsid w:val="003E28A6"/>
    <w:rsid w:val="003E310B"/>
    <w:rsid w:val="003F31C9"/>
    <w:rsid w:val="003F3699"/>
    <w:rsid w:val="003F5CA2"/>
    <w:rsid w:val="00402712"/>
    <w:rsid w:val="00404D2C"/>
    <w:rsid w:val="00425F0B"/>
    <w:rsid w:val="00463521"/>
    <w:rsid w:val="00467BAC"/>
    <w:rsid w:val="004814D7"/>
    <w:rsid w:val="00497EF5"/>
    <w:rsid w:val="004C146E"/>
    <w:rsid w:val="00503ABA"/>
    <w:rsid w:val="00533D9B"/>
    <w:rsid w:val="00536646"/>
    <w:rsid w:val="00541238"/>
    <w:rsid w:val="00544AFC"/>
    <w:rsid w:val="00565305"/>
    <w:rsid w:val="0057480E"/>
    <w:rsid w:val="00576A1D"/>
    <w:rsid w:val="0057749D"/>
    <w:rsid w:val="00581DCF"/>
    <w:rsid w:val="005872E2"/>
    <w:rsid w:val="00593DBE"/>
    <w:rsid w:val="005A4EDD"/>
    <w:rsid w:val="005B182C"/>
    <w:rsid w:val="005B5D95"/>
    <w:rsid w:val="005B7F25"/>
    <w:rsid w:val="005C6D5A"/>
    <w:rsid w:val="005D4E19"/>
    <w:rsid w:val="00630C08"/>
    <w:rsid w:val="006367AD"/>
    <w:rsid w:val="006503AE"/>
    <w:rsid w:val="006617CE"/>
    <w:rsid w:val="00663E19"/>
    <w:rsid w:val="006749C7"/>
    <w:rsid w:val="00675AD8"/>
    <w:rsid w:val="00683B73"/>
    <w:rsid w:val="006863D2"/>
    <w:rsid w:val="006952EF"/>
    <w:rsid w:val="006C19FC"/>
    <w:rsid w:val="006D7114"/>
    <w:rsid w:val="006E48A8"/>
    <w:rsid w:val="006E4B2E"/>
    <w:rsid w:val="007131ED"/>
    <w:rsid w:val="00717949"/>
    <w:rsid w:val="00721C17"/>
    <w:rsid w:val="00737DDD"/>
    <w:rsid w:val="007569A4"/>
    <w:rsid w:val="00756DAE"/>
    <w:rsid w:val="007625F5"/>
    <w:rsid w:val="00767716"/>
    <w:rsid w:val="00777D7C"/>
    <w:rsid w:val="007965C1"/>
    <w:rsid w:val="007B5B0C"/>
    <w:rsid w:val="007D3E2E"/>
    <w:rsid w:val="007F1044"/>
    <w:rsid w:val="007F54E6"/>
    <w:rsid w:val="007F7E7A"/>
    <w:rsid w:val="00810AFB"/>
    <w:rsid w:val="00820CE3"/>
    <w:rsid w:val="0084788D"/>
    <w:rsid w:val="00847D5C"/>
    <w:rsid w:val="00853871"/>
    <w:rsid w:val="00885CFC"/>
    <w:rsid w:val="00890BF2"/>
    <w:rsid w:val="008A1E3D"/>
    <w:rsid w:val="008B5996"/>
    <w:rsid w:val="008D4EE1"/>
    <w:rsid w:val="008F5817"/>
    <w:rsid w:val="009068B0"/>
    <w:rsid w:val="00911351"/>
    <w:rsid w:val="00912FCC"/>
    <w:rsid w:val="009263C4"/>
    <w:rsid w:val="00930745"/>
    <w:rsid w:val="009669B4"/>
    <w:rsid w:val="009743DB"/>
    <w:rsid w:val="00997E40"/>
    <w:rsid w:val="009A4B6F"/>
    <w:rsid w:val="009D3740"/>
    <w:rsid w:val="009E4C0B"/>
    <w:rsid w:val="00A04D08"/>
    <w:rsid w:val="00A30842"/>
    <w:rsid w:val="00A8172F"/>
    <w:rsid w:val="00A95B60"/>
    <w:rsid w:val="00AC3599"/>
    <w:rsid w:val="00AD57D8"/>
    <w:rsid w:val="00AD6316"/>
    <w:rsid w:val="00AE58D6"/>
    <w:rsid w:val="00B0270D"/>
    <w:rsid w:val="00B031F9"/>
    <w:rsid w:val="00B10570"/>
    <w:rsid w:val="00B1429F"/>
    <w:rsid w:val="00B67AEA"/>
    <w:rsid w:val="00B71A40"/>
    <w:rsid w:val="00B77550"/>
    <w:rsid w:val="00B812AE"/>
    <w:rsid w:val="00BA5101"/>
    <w:rsid w:val="00BE23EB"/>
    <w:rsid w:val="00BE2B31"/>
    <w:rsid w:val="00BE5DF3"/>
    <w:rsid w:val="00BF7641"/>
    <w:rsid w:val="00C212B9"/>
    <w:rsid w:val="00C367F9"/>
    <w:rsid w:val="00C50D04"/>
    <w:rsid w:val="00C513EE"/>
    <w:rsid w:val="00C532F7"/>
    <w:rsid w:val="00C56E63"/>
    <w:rsid w:val="00C853D7"/>
    <w:rsid w:val="00C93C2E"/>
    <w:rsid w:val="00CA1E6C"/>
    <w:rsid w:val="00CC011C"/>
    <w:rsid w:val="00D01EB3"/>
    <w:rsid w:val="00D039AB"/>
    <w:rsid w:val="00D06F4B"/>
    <w:rsid w:val="00D109D4"/>
    <w:rsid w:val="00D11D0A"/>
    <w:rsid w:val="00D161F7"/>
    <w:rsid w:val="00D2130F"/>
    <w:rsid w:val="00D35F54"/>
    <w:rsid w:val="00D41228"/>
    <w:rsid w:val="00D50171"/>
    <w:rsid w:val="00D5436F"/>
    <w:rsid w:val="00D601A3"/>
    <w:rsid w:val="00D60615"/>
    <w:rsid w:val="00D61D54"/>
    <w:rsid w:val="00D673F8"/>
    <w:rsid w:val="00D85EE4"/>
    <w:rsid w:val="00D92F2D"/>
    <w:rsid w:val="00D956ED"/>
    <w:rsid w:val="00D97222"/>
    <w:rsid w:val="00DA7232"/>
    <w:rsid w:val="00DC3AD6"/>
    <w:rsid w:val="00DC6E06"/>
    <w:rsid w:val="00E221C6"/>
    <w:rsid w:val="00E53964"/>
    <w:rsid w:val="00E542A7"/>
    <w:rsid w:val="00E60CE7"/>
    <w:rsid w:val="00E63799"/>
    <w:rsid w:val="00E7688C"/>
    <w:rsid w:val="00E87388"/>
    <w:rsid w:val="00EA74DD"/>
    <w:rsid w:val="00EB1B93"/>
    <w:rsid w:val="00EB35C4"/>
    <w:rsid w:val="00ED0AF9"/>
    <w:rsid w:val="00EF1E77"/>
    <w:rsid w:val="00F34AEF"/>
    <w:rsid w:val="00F46CC1"/>
    <w:rsid w:val="00F653E3"/>
    <w:rsid w:val="00F86764"/>
    <w:rsid w:val="00FA394E"/>
    <w:rsid w:val="00FD47B5"/>
    <w:rsid w:val="00FE0B92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606EB"/>
  <w15:docId w15:val="{762881E2-532B-45C2-A3D0-73272B27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35112"/>
    <w:pPr>
      <w:keepNext/>
      <w:widowControl/>
      <w:autoSpaceDN/>
      <w:jc w:val="right"/>
      <w:textAlignment w:val="auto"/>
      <w:outlineLvl w:val="0"/>
    </w:pPr>
    <w:rPr>
      <w:rFonts w:eastAsia="Times New Roman" w:cs="Times New Roman"/>
      <w:b/>
      <w:bCs/>
      <w:kern w:val="0"/>
      <w:sz w:val="36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035112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kern w:val="0"/>
      <w:sz w:val="36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035112"/>
    <w:pPr>
      <w:keepNext/>
      <w:widowControl/>
      <w:autoSpaceDN/>
      <w:ind w:left="540" w:hanging="180"/>
      <w:jc w:val="both"/>
      <w:textAlignment w:val="auto"/>
      <w:outlineLvl w:val="2"/>
    </w:pPr>
    <w:rPr>
      <w:rFonts w:eastAsia="Times New Roman" w:cs="Times New Roman"/>
      <w:b/>
      <w:bCs/>
      <w:kern w:val="0"/>
      <w:lang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035112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035112"/>
    <w:pPr>
      <w:keepNext/>
      <w:widowControl/>
      <w:autoSpaceDN/>
      <w:textAlignment w:val="auto"/>
      <w:outlineLvl w:val="4"/>
    </w:pPr>
    <w:rPr>
      <w:rFonts w:eastAsia="Times New Roman" w:cs="Times New Roman"/>
      <w:kern w:val="0"/>
      <w:sz w:val="28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035112"/>
    <w:pPr>
      <w:keepNext/>
      <w:widowControl/>
      <w:autoSpaceDN/>
      <w:jc w:val="center"/>
      <w:textAlignment w:val="auto"/>
      <w:outlineLvl w:val="5"/>
    </w:pPr>
    <w:rPr>
      <w:rFonts w:ascii="Arial" w:eastAsia="Times New Roman" w:hAnsi="Arial" w:cs="Times New Roman"/>
      <w:kern w:val="0"/>
      <w:sz w:val="28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035112"/>
    <w:pPr>
      <w:keepNext/>
      <w:widowControl/>
      <w:tabs>
        <w:tab w:val="left" w:pos="1260"/>
      </w:tabs>
      <w:autoSpaceDN/>
      <w:jc w:val="both"/>
      <w:textAlignment w:val="auto"/>
      <w:outlineLvl w:val="6"/>
    </w:pPr>
    <w:rPr>
      <w:rFonts w:eastAsia="Times New Roman" w:cs="Times New Roman"/>
      <w:b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035112"/>
    <w:pPr>
      <w:keepNext/>
      <w:widowControl/>
      <w:autoSpaceDN/>
      <w:ind w:left="362"/>
      <w:jc w:val="both"/>
      <w:textAlignment w:val="auto"/>
      <w:outlineLvl w:val="7"/>
    </w:pPr>
    <w:rPr>
      <w:rFonts w:eastAsia="Times New Roman" w:cs="Times New Roman"/>
      <w:b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035112"/>
    <w:pPr>
      <w:widowControl/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67AE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B67AEA"/>
  </w:style>
  <w:style w:type="paragraph" w:customStyle="1" w:styleId="Standard">
    <w:name w:val="Standard"/>
    <w:rsid w:val="00B67AE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67AE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67AEA"/>
    <w:pPr>
      <w:spacing w:after="120"/>
    </w:pPr>
  </w:style>
  <w:style w:type="paragraph" w:customStyle="1" w:styleId="Lista1">
    <w:name w:val="Lista1"/>
    <w:basedOn w:val="Textbody"/>
    <w:rsid w:val="00B67AEA"/>
  </w:style>
  <w:style w:type="paragraph" w:customStyle="1" w:styleId="Legenda1">
    <w:name w:val="Legenda1"/>
    <w:basedOn w:val="Standard"/>
    <w:rsid w:val="00B67A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7AEA"/>
    <w:pPr>
      <w:suppressLineNumbers/>
    </w:pPr>
  </w:style>
  <w:style w:type="paragraph" w:customStyle="1" w:styleId="Nagwek10">
    <w:name w:val="Nagłówek1"/>
    <w:basedOn w:val="Standard"/>
    <w:rsid w:val="00B67AE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  <w:rsid w:val="00B67AEA"/>
  </w:style>
  <w:style w:type="character" w:customStyle="1" w:styleId="StrongEmphasis">
    <w:name w:val="Strong Emphasis"/>
    <w:rsid w:val="00B67AEA"/>
    <w:rPr>
      <w:b/>
      <w:bCs/>
    </w:rPr>
  </w:style>
  <w:style w:type="paragraph" w:styleId="Nagwek">
    <w:name w:val="header"/>
    <w:aliases w:val="Nagłówek strony,Nagłówek strony Znak Znak Znak,Nagłówek strony Znak Znak"/>
    <w:basedOn w:val="Normalny"/>
    <w:link w:val="Nagwek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aliases w:val="Nagłówek strony Znak1,Nagłówek strony Znak Znak Znak Znak1,Nagłówek strony Znak Znak Znak2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rsid w:val="00885CFC"/>
    <w:rPr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3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rsid w:val="00B67AEA"/>
    <w:pPr>
      <w:numPr>
        <w:numId w:val="1"/>
      </w:numPr>
    </w:pPr>
  </w:style>
  <w:style w:type="character" w:styleId="Hipercze">
    <w:name w:val="Hyperlink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Akapitzlist">
    <w:name w:val="List Paragraph"/>
    <w:aliases w:val="Numerowanie,L1,Akapit z listą5,Akapit normalny,Akapit z listą1,Akapit z listą BS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2658C1"/>
    <w:pPr>
      <w:ind w:left="720"/>
      <w:contextualSpacing/>
    </w:pPr>
    <w:rPr>
      <w:szCs w:val="21"/>
    </w:rPr>
  </w:style>
  <w:style w:type="paragraph" w:styleId="Tytu">
    <w:name w:val="Title"/>
    <w:basedOn w:val="Normalny"/>
    <w:link w:val="TytuZnak"/>
    <w:qFormat/>
    <w:rsid w:val="00037CB7"/>
    <w:pPr>
      <w:widowControl/>
      <w:autoSpaceDN/>
      <w:jc w:val="center"/>
      <w:textAlignment w:val="auto"/>
      <w:outlineLvl w:val="0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037CB7"/>
    <w:rPr>
      <w:rFonts w:eastAsia="Times New Roman" w:cs="Times New Roman"/>
      <w:b/>
      <w:sz w:val="36"/>
    </w:rPr>
  </w:style>
  <w:style w:type="paragraph" w:customStyle="1" w:styleId="TreB">
    <w:name w:val="Treść B"/>
    <w:rsid w:val="00037CB7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nhideWhenUsed/>
    <w:rsid w:val="00035112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035112"/>
    <w:rPr>
      <w:kern w:val="3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035112"/>
    <w:rPr>
      <w:rFonts w:eastAsia="Times New Roman" w:cs="Times New Roman"/>
      <w:b/>
      <w:bCs/>
      <w:sz w:val="36"/>
      <w:szCs w:val="24"/>
    </w:rPr>
  </w:style>
  <w:style w:type="character" w:customStyle="1" w:styleId="Nagwek2Znak">
    <w:name w:val="Nagłówek 2 Znak"/>
    <w:basedOn w:val="Domylnaczcionkaakapitu"/>
    <w:link w:val="Nagwek2"/>
    <w:rsid w:val="00035112"/>
    <w:rPr>
      <w:rFonts w:eastAsia="Times New Roman" w:cs="Times New Roman"/>
      <w:b/>
      <w:bCs/>
      <w:sz w:val="36"/>
      <w:szCs w:val="24"/>
    </w:rPr>
  </w:style>
  <w:style w:type="character" w:customStyle="1" w:styleId="Nagwek3Znak">
    <w:name w:val="Nagłówek 3 Znak"/>
    <w:basedOn w:val="Domylnaczcionkaakapitu"/>
    <w:link w:val="Nagwek3"/>
    <w:rsid w:val="00035112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35112"/>
    <w:rPr>
      <w:rFonts w:eastAsia="Times New Roman" w:cs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35112"/>
    <w:rPr>
      <w:rFonts w:eastAsia="Times New Roman" w:cs="Times New Roman"/>
      <w:sz w:val="28"/>
    </w:rPr>
  </w:style>
  <w:style w:type="character" w:customStyle="1" w:styleId="Nagwek6Znak">
    <w:name w:val="Nagłówek 6 Znak"/>
    <w:basedOn w:val="Domylnaczcionkaakapitu"/>
    <w:link w:val="Nagwek6"/>
    <w:rsid w:val="00035112"/>
    <w:rPr>
      <w:rFonts w:ascii="Arial" w:eastAsia="Times New Roman" w:hAnsi="Arial" w:cs="Times New Roman"/>
      <w:sz w:val="28"/>
    </w:rPr>
  </w:style>
  <w:style w:type="character" w:customStyle="1" w:styleId="Nagwek7Znak">
    <w:name w:val="Nagłówek 7 Znak"/>
    <w:basedOn w:val="Domylnaczcionkaakapitu"/>
    <w:link w:val="Nagwek7"/>
    <w:rsid w:val="00035112"/>
    <w:rPr>
      <w:rFonts w:eastAsia="Times New Roman" w:cs="Times New Roman"/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35112"/>
    <w:rPr>
      <w:rFonts w:eastAsia="Times New Roman" w:cs="Times New Roman"/>
      <w:b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35112"/>
    <w:rPr>
      <w:rFonts w:ascii="Arial" w:eastAsia="Times New Roman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semiHidden/>
    <w:rsid w:val="00035112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112"/>
    <w:rPr>
      <w:rFonts w:eastAsia="Times New Roman" w:cs="Times New Roman"/>
    </w:rPr>
  </w:style>
  <w:style w:type="paragraph" w:styleId="Tekstpodstawowywcity">
    <w:name w:val="Body Text Indent"/>
    <w:basedOn w:val="Normalny"/>
    <w:link w:val="TekstpodstawowywcityZnak"/>
    <w:rsid w:val="00035112"/>
    <w:pPr>
      <w:widowControl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5112"/>
    <w:rPr>
      <w:rFonts w:eastAsia="Times New Roman" w:cs="Times New Roman"/>
    </w:rPr>
  </w:style>
  <w:style w:type="paragraph" w:styleId="Tekstpodstawowy2">
    <w:name w:val="Body Text 2"/>
    <w:basedOn w:val="Normalny"/>
    <w:link w:val="Tekstpodstawowy2Znak"/>
    <w:rsid w:val="00035112"/>
    <w:pPr>
      <w:widowControl/>
      <w:autoSpaceDN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035112"/>
    <w:rPr>
      <w:rFonts w:eastAsia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035112"/>
    <w:pPr>
      <w:widowControl/>
      <w:tabs>
        <w:tab w:val="left" w:pos="360"/>
      </w:tabs>
      <w:autoSpaceDN/>
      <w:jc w:val="both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035112"/>
    <w:rPr>
      <w:rFonts w:eastAsia="Times New Roman" w:cs="Times New Roman"/>
      <w:b/>
      <w:bCs/>
      <w:sz w:val="24"/>
      <w:szCs w:val="24"/>
    </w:rPr>
  </w:style>
  <w:style w:type="character" w:styleId="Numerstrony">
    <w:name w:val="page number"/>
    <w:basedOn w:val="Domylnaczcionkaakapitu"/>
    <w:rsid w:val="00035112"/>
  </w:style>
  <w:style w:type="paragraph" w:styleId="Tekstpodstawowywcity2">
    <w:name w:val="Body Text Indent 2"/>
    <w:basedOn w:val="Normalny"/>
    <w:link w:val="Tekstpodstawowywcity2Znak"/>
    <w:rsid w:val="00035112"/>
    <w:pPr>
      <w:widowControl/>
      <w:autoSpaceDN/>
      <w:ind w:left="5973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5112"/>
    <w:rPr>
      <w:rFonts w:eastAsia="Times New Roman" w:cs="Times New Roman"/>
      <w:sz w:val="24"/>
      <w:szCs w:val="24"/>
    </w:rPr>
  </w:style>
  <w:style w:type="paragraph" w:styleId="Tekstblokowy">
    <w:name w:val="Block Text"/>
    <w:basedOn w:val="Normalny"/>
    <w:rsid w:val="00035112"/>
    <w:pPr>
      <w:widowControl/>
      <w:autoSpaceDN/>
      <w:spacing w:line="360" w:lineRule="auto"/>
      <w:ind w:left="2353" w:right="-159" w:hanging="1991"/>
      <w:textAlignment w:val="auto"/>
    </w:pPr>
    <w:rPr>
      <w:rFonts w:eastAsia="Times New Roman" w:cs="Times New Roman"/>
      <w:b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035112"/>
    <w:pPr>
      <w:widowControl/>
      <w:autoSpaceDN/>
      <w:spacing w:before="100" w:beforeAutospacing="1" w:after="100" w:afterAutospacing="1"/>
      <w:jc w:val="both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rsid w:val="00035112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035112"/>
    <w:rPr>
      <w:rFonts w:ascii="Courier New" w:eastAsia="Times New Roman" w:hAnsi="Courier New" w:cs="Times New Roman"/>
    </w:rPr>
  </w:style>
  <w:style w:type="paragraph" w:customStyle="1" w:styleId="Tekstcofnity">
    <w:name w:val="Tekst_cofnięty"/>
    <w:basedOn w:val="Normalny"/>
    <w:rsid w:val="00035112"/>
    <w:pPr>
      <w:widowControl/>
      <w:autoSpaceDN/>
      <w:spacing w:line="360" w:lineRule="auto"/>
      <w:ind w:left="540"/>
      <w:textAlignment w:val="auto"/>
    </w:pPr>
    <w:rPr>
      <w:rFonts w:eastAsia="Times New Roman" w:cs="Times New Roman"/>
      <w:kern w:val="0"/>
      <w:szCs w:val="20"/>
      <w:lang w:val="en-US" w:eastAsia="pl-PL" w:bidi="ar-SA"/>
    </w:rPr>
  </w:style>
  <w:style w:type="paragraph" w:customStyle="1" w:styleId="rozdzia">
    <w:name w:val="rozdział"/>
    <w:basedOn w:val="Normalny"/>
    <w:autoRedefine/>
    <w:rsid w:val="00035112"/>
    <w:pPr>
      <w:widowControl/>
      <w:autoSpaceDN/>
      <w:spacing w:line="288" w:lineRule="auto"/>
      <w:jc w:val="center"/>
      <w:textAlignment w:val="auto"/>
    </w:pPr>
    <w:rPr>
      <w:rFonts w:eastAsia="Times New Roman" w:cs="Times New Roman"/>
      <w:b/>
      <w:caps/>
      <w:spacing w:val="8"/>
      <w:kern w:val="0"/>
      <w:szCs w:val="20"/>
      <w:lang w:eastAsia="pl-PL" w:bidi="ar-SA"/>
    </w:rPr>
  </w:style>
  <w:style w:type="paragraph" w:customStyle="1" w:styleId="Tekstpodstawowy21">
    <w:name w:val="Tekst podstawowy 21"/>
    <w:basedOn w:val="Normalny"/>
    <w:rsid w:val="00035112"/>
    <w:pPr>
      <w:suppressAutoHyphens/>
      <w:autoSpaceDN/>
      <w:textAlignment w:val="auto"/>
    </w:pPr>
    <w:rPr>
      <w:rFonts w:eastAsia="Arial Unicode MS" w:cs="Times New Roman"/>
      <w:kern w:val="0"/>
      <w:sz w:val="20"/>
      <w:szCs w:val="20"/>
      <w:lang w:bidi="ar-SA"/>
    </w:rPr>
  </w:style>
  <w:style w:type="paragraph" w:styleId="Lista">
    <w:name w:val="List"/>
    <w:basedOn w:val="Tekstpodstawowy"/>
    <w:rsid w:val="00035112"/>
    <w:pPr>
      <w:widowControl/>
      <w:suppressAutoHyphens/>
      <w:autoSpaceDN/>
      <w:spacing w:after="0"/>
      <w:textAlignment w:val="auto"/>
    </w:pPr>
    <w:rPr>
      <w:rFonts w:eastAsia="Times New Roman" w:cs="Tahoma"/>
      <w:kern w:val="0"/>
      <w:sz w:val="20"/>
      <w:szCs w:val="24"/>
      <w:lang w:eastAsia="ar-SA" w:bidi="ar-SA"/>
    </w:rPr>
  </w:style>
  <w:style w:type="paragraph" w:customStyle="1" w:styleId="WW-Zawartotabeli">
    <w:name w:val="WW-Zawartość tabeli"/>
    <w:basedOn w:val="Tekstpodstawowy"/>
    <w:rsid w:val="00035112"/>
    <w:pPr>
      <w:widowControl/>
      <w:suppressLineNumbers/>
      <w:suppressAutoHyphens/>
      <w:autoSpaceDN/>
      <w:spacing w:after="0"/>
      <w:textAlignment w:val="auto"/>
    </w:pPr>
    <w:rPr>
      <w:rFonts w:eastAsia="Times New Roman" w:cs="Times New Roman"/>
      <w:kern w:val="0"/>
      <w:sz w:val="20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semiHidden/>
    <w:rsid w:val="00035112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5112"/>
    <w:rPr>
      <w:rFonts w:eastAsia="Times New Roman" w:cs="Times New Roman"/>
    </w:rPr>
  </w:style>
  <w:style w:type="character" w:styleId="Odwoanieprzypisukocowego">
    <w:name w:val="endnote reference"/>
    <w:semiHidden/>
    <w:rsid w:val="00035112"/>
    <w:rPr>
      <w:vertAlign w:val="superscript"/>
    </w:rPr>
  </w:style>
  <w:style w:type="paragraph" w:customStyle="1" w:styleId="WW-Tekstpodstawowy2">
    <w:name w:val="WW-Tekst podstawowy 2"/>
    <w:basedOn w:val="Normalny"/>
    <w:rsid w:val="00035112"/>
    <w:pPr>
      <w:widowControl/>
      <w:suppressAutoHyphens/>
      <w:autoSpaceDN/>
      <w:spacing w:before="120"/>
      <w:jc w:val="both"/>
      <w:textAlignment w:val="auto"/>
    </w:pPr>
    <w:rPr>
      <w:rFonts w:eastAsia="Times New Roman" w:cs="Times New Roman"/>
      <w:b/>
      <w:bCs/>
      <w:kern w:val="0"/>
      <w:sz w:val="25"/>
      <w:lang w:eastAsia="ar-SA" w:bidi="ar-SA"/>
    </w:rPr>
  </w:style>
  <w:style w:type="character" w:customStyle="1" w:styleId="WW8Num9z0">
    <w:name w:val="WW8Num9z0"/>
    <w:rsid w:val="00035112"/>
    <w:rPr>
      <w:b w:val="0"/>
      <w:i w:val="0"/>
    </w:rPr>
  </w:style>
  <w:style w:type="paragraph" w:customStyle="1" w:styleId="Default">
    <w:name w:val="Default"/>
    <w:rsid w:val="00035112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Indeks">
    <w:name w:val="Indeks"/>
    <w:basedOn w:val="Normalny"/>
    <w:rsid w:val="00035112"/>
    <w:pPr>
      <w:widowControl/>
      <w:suppressLineNumbers/>
      <w:suppressAutoHyphens/>
      <w:autoSpaceDN/>
      <w:textAlignment w:val="auto"/>
    </w:pPr>
    <w:rPr>
      <w:rFonts w:eastAsia="Times New Roman" w:cs="Lucida Sans Unicode"/>
      <w:kern w:val="0"/>
      <w:lang w:eastAsia="ar-SA" w:bidi="ar-SA"/>
    </w:rPr>
  </w:style>
  <w:style w:type="character" w:customStyle="1" w:styleId="WW8Num24z0">
    <w:name w:val="WW8Num24z0"/>
    <w:rsid w:val="00035112"/>
    <w:rPr>
      <w:b w:val="0"/>
      <w:i w:val="0"/>
    </w:rPr>
  </w:style>
  <w:style w:type="paragraph" w:customStyle="1" w:styleId="WW-Zawartotabeli1">
    <w:name w:val="WW-Zawartość tabeli1"/>
    <w:basedOn w:val="Normalny"/>
    <w:rsid w:val="00035112"/>
    <w:pPr>
      <w:suppressLineNumbers/>
      <w:suppressAutoHyphens/>
      <w:autoSpaceDN/>
      <w:textAlignment w:val="auto"/>
    </w:pPr>
    <w:rPr>
      <w:rFonts w:eastAsia="Lucida Sans Unicode" w:cs="Times New Roman"/>
      <w:kern w:val="0"/>
      <w:lang w:bidi="ar-SA"/>
    </w:rPr>
  </w:style>
  <w:style w:type="paragraph" w:customStyle="1" w:styleId="ABCDE">
    <w:name w:val="ABCDE"/>
    <w:basedOn w:val="Normalny"/>
    <w:rsid w:val="00035112"/>
    <w:pPr>
      <w:suppressAutoHyphens/>
      <w:autoSpaceDN/>
      <w:spacing w:before="120" w:line="360" w:lineRule="auto"/>
      <w:jc w:val="both"/>
      <w:textAlignment w:val="auto"/>
    </w:pPr>
    <w:rPr>
      <w:rFonts w:ascii="Arial" w:eastAsia="Lucida Sans Unicode" w:hAnsi="Arial" w:cs="Times New Roman"/>
      <w:kern w:val="0"/>
      <w:sz w:val="22"/>
      <w:lang w:bidi="ar-SA"/>
    </w:rPr>
  </w:style>
  <w:style w:type="character" w:customStyle="1" w:styleId="WW-Absatz-Standardschriftart111">
    <w:name w:val="WW-Absatz-Standardschriftart111"/>
    <w:rsid w:val="00035112"/>
  </w:style>
  <w:style w:type="paragraph" w:customStyle="1" w:styleId="Zwykytekst1">
    <w:name w:val="Zwykły tekst1"/>
    <w:basedOn w:val="Normalny"/>
    <w:rsid w:val="00035112"/>
    <w:pPr>
      <w:widowControl/>
      <w:suppressAutoHyphens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yt">
    <w:name w:val="tyt"/>
    <w:basedOn w:val="Normalny"/>
    <w:rsid w:val="00035112"/>
    <w:pPr>
      <w:keepNext/>
      <w:widowControl/>
      <w:suppressAutoHyphens/>
      <w:autoSpaceDN/>
      <w:spacing w:before="60" w:after="60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St4-punkt">
    <w:name w:val="St4-punkt"/>
    <w:basedOn w:val="Normalny"/>
    <w:rsid w:val="00035112"/>
    <w:pPr>
      <w:widowControl/>
      <w:autoSpaceDN/>
      <w:ind w:left="680" w:hanging="34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0">
    <w:name w:val="Standardowy.+"/>
    <w:rsid w:val="00035112"/>
    <w:rPr>
      <w:rFonts w:ascii="Arial" w:eastAsia="Times New Roman" w:hAnsi="Arial" w:cs="Times New Roman"/>
      <w:sz w:val="24"/>
    </w:rPr>
  </w:style>
  <w:style w:type="paragraph" w:customStyle="1" w:styleId="ust">
    <w:name w:val="ust"/>
    <w:rsid w:val="00035112"/>
    <w:pPr>
      <w:spacing w:before="60" w:after="60"/>
      <w:ind w:left="426" w:hanging="284"/>
      <w:jc w:val="both"/>
    </w:pPr>
    <w:rPr>
      <w:rFonts w:eastAsia="Times New Roman" w:cs="Times New Roman"/>
      <w:sz w:val="24"/>
    </w:rPr>
  </w:style>
  <w:style w:type="paragraph" w:customStyle="1" w:styleId="Tekstpodstawowy211">
    <w:name w:val="Tekst podstawowy 211"/>
    <w:basedOn w:val="Normalny"/>
    <w:rsid w:val="00035112"/>
    <w:pPr>
      <w:widowControl/>
      <w:suppressAutoHyphens/>
      <w:autoSpaceDN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Podtytu">
    <w:name w:val="Subtitle"/>
    <w:basedOn w:val="Normalny"/>
    <w:next w:val="Tekstpodstawowy"/>
    <w:link w:val="PodtytuZnak"/>
    <w:qFormat/>
    <w:rsid w:val="00035112"/>
    <w:pPr>
      <w:widowControl/>
      <w:tabs>
        <w:tab w:val="left" w:pos="360"/>
      </w:tabs>
      <w:suppressAutoHyphens/>
      <w:autoSpaceDN/>
      <w:spacing w:line="336" w:lineRule="auto"/>
      <w:jc w:val="right"/>
      <w:textAlignment w:val="auto"/>
    </w:pPr>
    <w:rPr>
      <w:rFonts w:eastAsia="Times New Roman" w:cs="Times New Roman"/>
      <w:b/>
      <w:kern w:val="0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035112"/>
    <w:rPr>
      <w:rFonts w:eastAsia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035112"/>
    <w:pPr>
      <w:widowControl/>
      <w:suppressAutoHyphens/>
      <w:autoSpaceDN/>
      <w:spacing w:line="360" w:lineRule="auto"/>
      <w:ind w:left="2353" w:right="-159" w:hanging="1991"/>
      <w:textAlignment w:val="auto"/>
    </w:pPr>
    <w:rPr>
      <w:rFonts w:eastAsia="Times New Roman" w:cs="Times New Roman"/>
      <w:b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035112"/>
    <w:pPr>
      <w:widowControl/>
      <w:suppressAutoHyphens/>
      <w:autoSpaceDN/>
      <w:ind w:left="5973"/>
      <w:textAlignment w:val="auto"/>
    </w:pPr>
    <w:rPr>
      <w:rFonts w:eastAsia="Times New Roman" w:cs="Times New Roman"/>
      <w:kern w:val="0"/>
      <w:lang w:eastAsia="ar-SA" w:bidi="ar-SA"/>
    </w:rPr>
  </w:style>
  <w:style w:type="character" w:styleId="Pogrubienie">
    <w:name w:val="Strong"/>
    <w:qFormat/>
    <w:rsid w:val="0003511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5112"/>
    <w:pPr>
      <w:widowControl/>
      <w:autoSpaceDN/>
      <w:ind w:left="720" w:hanging="720"/>
      <w:jc w:val="both"/>
      <w:textAlignment w:val="auto"/>
    </w:pPr>
    <w:rPr>
      <w:rFonts w:eastAsia="Calibri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112"/>
    <w:rPr>
      <w:rFonts w:eastAsia="Calibri" w:cs="Times New Roman"/>
      <w:lang w:eastAsia="en-GB"/>
    </w:rPr>
  </w:style>
  <w:style w:type="character" w:customStyle="1" w:styleId="NagwekZnak1">
    <w:name w:val="Nagłówek Znak1"/>
    <w:aliases w:val="Nagłówek strony Znak,Nagłówek strony Znak Znak Znak Znak,Nagłówek strony Znak Znak Znak1"/>
    <w:locked/>
    <w:rsid w:val="00035112"/>
  </w:style>
  <w:style w:type="character" w:customStyle="1" w:styleId="AkapitzlistZnak">
    <w:name w:val="Akapit z listą Znak"/>
    <w:aliases w:val="Numerowanie Znak,L1 Znak,Akapit z listą5 Znak,Akapit normalny Znak,Akapit z listą1 Znak,Akapit z listą BS Znak,Kolorowa lista — akcent 11 Znak,List Paragraph2 Znak,CW_Lista Znak,lp1 Znak,Preambuła Znak,Dot pt Znak,Recommendation Znak"/>
    <w:link w:val="Akapitzlist"/>
    <w:uiPriority w:val="34"/>
    <w:locked/>
    <w:rsid w:val="00035112"/>
    <w:rPr>
      <w:kern w:val="3"/>
      <w:sz w:val="24"/>
      <w:szCs w:val="21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D109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749C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9C7"/>
    <w:pPr>
      <w:widowControl w:val="0"/>
      <w:autoSpaceDN w:val="0"/>
      <w:textAlignment w:val="baseline"/>
    </w:pPr>
    <w:rPr>
      <w:rFonts w:eastAsia="SimSun" w:cs="Mangal"/>
      <w:b/>
      <w:bCs/>
      <w:kern w:val="3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9C7"/>
    <w:rPr>
      <w:rFonts w:eastAsia="Times New Roman" w:cs="Times New Roman"/>
      <w:b/>
      <w:bCs/>
      <w:kern w:val="3"/>
      <w:szCs w:val="18"/>
      <w:lang w:eastAsia="zh-CN" w:bidi="hi-IN"/>
    </w:rPr>
  </w:style>
  <w:style w:type="paragraph" w:styleId="Poprawka">
    <w:name w:val="Revision"/>
    <w:hidden/>
    <w:uiPriority w:val="99"/>
    <w:semiHidden/>
    <w:rsid w:val="00911351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5DD9-7F28-489C-B185-B5F7550B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FIRMOWY-czysty.dot</Template>
  <TotalTime>2</TotalTime>
  <Pages>1</Pages>
  <Words>4616</Words>
  <Characters>27697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32249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Anonymous</cp:lastModifiedBy>
  <cp:revision>6</cp:revision>
  <cp:lastPrinted>2020-08-18T10:19:00Z</cp:lastPrinted>
  <dcterms:created xsi:type="dcterms:W3CDTF">2020-09-18T13:56:00Z</dcterms:created>
  <dcterms:modified xsi:type="dcterms:W3CDTF">2020-09-18T13:57:00Z</dcterms:modified>
</cp:coreProperties>
</file>