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DD6" w:rsidRPr="000F7DD6" w:rsidRDefault="000F7DD6">
      <w:pPr>
        <w:rPr>
          <w:rFonts w:ascii="Arial" w:hAnsi="Arial" w:cs="Arial"/>
          <w:b/>
        </w:rPr>
      </w:pPr>
      <w:bookmarkStart w:id="0" w:name="_GoBack"/>
      <w:bookmarkEnd w:id="0"/>
      <w:r w:rsidRPr="000F7DD6">
        <w:rPr>
          <w:rFonts w:ascii="Arial" w:hAnsi="Arial" w:cs="Arial"/>
          <w:b/>
        </w:rPr>
        <w:t>Aparat nerkozastępczy</w:t>
      </w:r>
      <w:r w:rsidR="002A45AB">
        <w:rPr>
          <w:rFonts w:ascii="Arial" w:hAnsi="Arial" w:cs="Arial"/>
          <w:b/>
        </w:rPr>
        <w:t xml:space="preserve"> – 2 szt.</w:t>
      </w:r>
    </w:p>
    <w:tbl>
      <w:tblPr>
        <w:tblW w:w="889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2727"/>
        <w:gridCol w:w="2727"/>
        <w:gridCol w:w="2727"/>
      </w:tblGrid>
      <w:tr w:rsidR="009D028F" w:rsidRPr="009D028F" w:rsidTr="005443B6">
        <w:trPr>
          <w:trHeight w:val="327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5443B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9D028F">
              <w:rPr>
                <w:rFonts w:ascii="Arial" w:eastAsia="Calibri" w:hAnsi="Arial" w:cs="Arial"/>
                <w:b/>
                <w:sz w:val="20"/>
              </w:rPr>
              <w:t>Warunek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9D028F">
              <w:rPr>
                <w:rFonts w:ascii="Arial" w:eastAsia="Calibri" w:hAnsi="Arial" w:cs="Arial"/>
                <w:b/>
                <w:sz w:val="20"/>
              </w:rPr>
              <w:t>Potwierdzenie / Opis Wykonawcy</w:t>
            </w:r>
          </w:p>
        </w:tc>
      </w:tr>
      <w:tr w:rsidR="009D028F" w:rsidRPr="009D028F" w:rsidTr="00B401DF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Typ/Model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pStyle w:val="Nagwek2"/>
              <w:tabs>
                <w:tab w:val="left" w:pos="283"/>
              </w:tabs>
              <w:suppressAutoHyphens/>
              <w:snapToGrid w:val="0"/>
              <w:spacing w:before="0"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9D028F" w:rsidRPr="009D028F" w:rsidTr="00B401DF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Producent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pStyle w:val="Nagwek2"/>
              <w:tabs>
                <w:tab w:val="left" w:pos="283"/>
              </w:tabs>
              <w:suppressAutoHyphens/>
              <w:snapToGrid w:val="0"/>
              <w:spacing w:before="0"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9D028F" w:rsidRPr="009D028F" w:rsidTr="00B401DF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Rok produkcji 2020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pStyle w:val="Nagwek2"/>
              <w:tabs>
                <w:tab w:val="left" w:pos="283"/>
              </w:tabs>
              <w:suppressAutoHyphens/>
              <w:snapToGrid w:val="0"/>
              <w:spacing w:before="0"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9D028F" w:rsidRPr="009D028F" w:rsidTr="00B401DF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pStyle w:val="Domynie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Zaoferowany przedmiot zamówienia musi posiadać dopuszczenie do obrotu i do używania zgodnie z ustawą dnia 20 maja 2</w:t>
            </w:r>
            <w:r w:rsidR="009D028F">
              <w:rPr>
                <w:rFonts w:ascii="Arial" w:hAnsi="Arial" w:cs="Arial"/>
                <w:sz w:val="20"/>
                <w:szCs w:val="20"/>
              </w:rPr>
              <w:t>010 r. o wyrobach  medycznych (Dz. U. z 2019 r. poz. 175</w:t>
            </w:r>
            <w:r w:rsidRPr="009D028F">
              <w:rPr>
                <w:rFonts w:ascii="Arial" w:hAnsi="Arial" w:cs="Arial"/>
                <w:sz w:val="20"/>
                <w:szCs w:val="20"/>
              </w:rPr>
              <w:t>) w szczególności:</w:t>
            </w:r>
          </w:p>
          <w:p w:rsidR="00DD71AB" w:rsidRPr="009D028F" w:rsidRDefault="00DD71AB" w:rsidP="00DD71AB">
            <w:pPr>
              <w:pStyle w:val="Domyni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DD71AB" w:rsidRPr="009D028F" w:rsidRDefault="00DD71AB" w:rsidP="00DD71AB">
            <w:pPr>
              <w:pStyle w:val="Domyni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posiadać deklarację zgodności dla oferowanego przedmiotu zamówienia;</w:t>
            </w:r>
          </w:p>
          <w:p w:rsidR="00DD71AB" w:rsidRPr="009D028F" w:rsidRDefault="00DD71AB" w:rsidP="00B328F6">
            <w:pPr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 xml:space="preserve">       c )    oznakowano je znakiem zgodności CE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pStyle w:val="Nagwek2"/>
              <w:tabs>
                <w:tab w:val="left" w:pos="283"/>
              </w:tabs>
              <w:suppressAutoHyphens/>
              <w:snapToGrid w:val="0"/>
              <w:spacing w:before="0"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9D028F" w:rsidRPr="009D028F" w:rsidTr="00B401DF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Wykaz dostawców części i materiałów – zgodnie z art. 90 ust. 3 Ustawy o wyrobach med</w:t>
            </w:r>
            <w:r w:rsidR="009D028F">
              <w:rPr>
                <w:rFonts w:ascii="Arial" w:eastAsia="Calibri" w:hAnsi="Arial" w:cs="Arial"/>
                <w:sz w:val="20"/>
              </w:rPr>
              <w:t>ycznych z dnia 20 maja 2010r. (Dz. U. z 2019 r. poz. 175</w:t>
            </w:r>
            <w:r w:rsidRPr="009D028F">
              <w:rPr>
                <w:rFonts w:ascii="Arial" w:eastAsia="Calibri" w:hAnsi="Arial" w:cs="Arial"/>
                <w:sz w:val="20"/>
              </w:rPr>
              <w:t>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pStyle w:val="Nagwek2"/>
              <w:tabs>
                <w:tab w:val="left" w:pos="283"/>
              </w:tabs>
              <w:suppressAutoHyphens/>
              <w:snapToGrid w:val="0"/>
              <w:spacing w:before="0"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9D028F" w:rsidRPr="009D028F" w:rsidTr="00B401DF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 xml:space="preserve">Wykaz podmiotów upoważnionych przez wytwórcę lub autoryzowanego przedstawiciela do wykonywania czynności – zgodnie z art. 90 ust. 4 ustawy o wyrobach </w:t>
            </w:r>
            <w:r w:rsidRPr="009D028F">
              <w:rPr>
                <w:rFonts w:ascii="Arial" w:eastAsia="Calibri" w:hAnsi="Arial" w:cs="Arial"/>
                <w:sz w:val="20"/>
              </w:rPr>
              <w:lastRenderedPageBreak/>
              <w:t>medy</w:t>
            </w:r>
            <w:r w:rsidR="009D028F">
              <w:rPr>
                <w:rFonts w:ascii="Arial" w:eastAsia="Calibri" w:hAnsi="Arial" w:cs="Arial"/>
                <w:sz w:val="20"/>
              </w:rPr>
              <w:t>cznych z dnia 20 maja 2010 r. (Dz. U. z 2019r. poz. 175</w:t>
            </w:r>
            <w:r w:rsidRPr="009D028F">
              <w:rPr>
                <w:rFonts w:ascii="Arial" w:eastAsia="Calibri" w:hAnsi="Arial" w:cs="Arial"/>
                <w:sz w:val="20"/>
              </w:rPr>
              <w:t>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pStyle w:val="Nagwek2"/>
              <w:tabs>
                <w:tab w:val="left" w:pos="283"/>
              </w:tabs>
              <w:suppressAutoHyphens/>
              <w:snapToGrid w:val="0"/>
              <w:spacing w:before="0"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9D028F" w:rsidRPr="009D028F" w:rsidTr="00984637">
        <w:trPr>
          <w:jc w:val="center"/>
        </w:trPr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pStyle w:val="Nagwek2"/>
              <w:tabs>
                <w:tab w:val="left" w:pos="283"/>
              </w:tabs>
              <w:suppressAutoHyphens/>
              <w:snapToGrid w:val="0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  <w:r w:rsidRPr="009D028F">
              <w:rPr>
                <w:rFonts w:eastAsia="Calibri"/>
                <w:i w:val="0"/>
                <w:sz w:val="20"/>
              </w:rPr>
              <w:t>Ogólne parametry techniczne</w:t>
            </w: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pStyle w:val="Nagwek2"/>
              <w:numPr>
                <w:ilvl w:val="0"/>
                <w:numId w:val="1"/>
              </w:numPr>
              <w:tabs>
                <w:tab w:val="left" w:pos="283"/>
              </w:tabs>
              <w:suppressAutoHyphens/>
              <w:snapToGrid w:val="0"/>
              <w:spacing w:before="0"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pStyle w:val="Nagwek2"/>
              <w:tabs>
                <w:tab w:val="left" w:pos="283"/>
              </w:tabs>
              <w:suppressAutoHyphens/>
              <w:snapToGrid w:val="0"/>
              <w:spacing w:before="0" w:after="0"/>
              <w:rPr>
                <w:b w:val="0"/>
                <w:i w:val="0"/>
                <w:sz w:val="20"/>
                <w:szCs w:val="20"/>
              </w:rPr>
            </w:pPr>
            <w:r w:rsidRPr="009D028F">
              <w:rPr>
                <w:b w:val="0"/>
                <w:i w:val="0"/>
                <w:sz w:val="20"/>
                <w:szCs w:val="20"/>
              </w:rPr>
              <w:t>Możliwość wykonywania heparynowych zabiegów minimum CVVHD, CVVH, CVVHDF z pre- albo postdylucją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pStyle w:val="Nagwek2"/>
              <w:tabs>
                <w:tab w:val="left" w:pos="283"/>
              </w:tabs>
              <w:suppressAutoHyphens/>
              <w:snapToGrid w:val="0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DD71AB" w:rsidRPr="009D028F" w:rsidRDefault="00DD71AB" w:rsidP="00DD71AB">
            <w:pPr>
              <w:jc w:val="center"/>
              <w:rPr>
                <w:lang w:eastAsia="pl-PL"/>
              </w:rPr>
            </w:pPr>
            <w:r w:rsidRPr="009D028F">
              <w:rPr>
                <w:lang w:eastAsia="pl-PL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pStyle w:val="Nagwek2"/>
              <w:tabs>
                <w:tab w:val="left" w:pos="283"/>
              </w:tabs>
              <w:suppressAutoHyphens/>
              <w:snapToGrid w:val="0"/>
              <w:spacing w:before="0"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pStyle w:val="Nagwek2"/>
              <w:numPr>
                <w:ilvl w:val="0"/>
                <w:numId w:val="1"/>
              </w:numPr>
              <w:tabs>
                <w:tab w:val="left" w:pos="283"/>
              </w:tabs>
              <w:suppressAutoHyphens/>
              <w:snapToGrid w:val="0"/>
              <w:spacing w:before="0"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pStyle w:val="Nagwek2"/>
              <w:tabs>
                <w:tab w:val="left" w:pos="283"/>
              </w:tabs>
              <w:suppressAutoHyphens/>
              <w:snapToGrid w:val="0"/>
              <w:spacing w:before="0" w:after="0"/>
              <w:rPr>
                <w:b w:val="0"/>
                <w:i w:val="0"/>
                <w:sz w:val="20"/>
                <w:szCs w:val="20"/>
              </w:rPr>
            </w:pPr>
            <w:r w:rsidRPr="009D028F">
              <w:rPr>
                <w:b w:val="0"/>
                <w:i w:val="0"/>
                <w:sz w:val="20"/>
                <w:szCs w:val="20"/>
              </w:rPr>
              <w:t xml:space="preserve">Możliwość wykonywania cytrynianowych zabiegów </w:t>
            </w:r>
            <w:r w:rsidR="00B60F2E" w:rsidRPr="009D028F">
              <w:rPr>
                <w:b w:val="0"/>
                <w:i w:val="0"/>
                <w:sz w:val="20"/>
                <w:szCs w:val="20"/>
              </w:rPr>
              <w:t xml:space="preserve">minimum </w:t>
            </w:r>
            <w:r w:rsidRPr="009D028F">
              <w:rPr>
                <w:b w:val="0"/>
                <w:i w:val="0"/>
                <w:sz w:val="20"/>
                <w:szCs w:val="20"/>
              </w:rPr>
              <w:t>CVVHD, CVVHDF z postdylucją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pStyle w:val="Nagwek2"/>
              <w:tabs>
                <w:tab w:val="left" w:pos="283"/>
              </w:tabs>
              <w:suppressAutoHyphens/>
              <w:snapToGrid w:val="0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FF29D8" w:rsidRPr="009D028F" w:rsidRDefault="00FF29D8" w:rsidP="00FF29D8">
            <w:pPr>
              <w:jc w:val="center"/>
              <w:rPr>
                <w:lang w:eastAsia="pl-PL"/>
              </w:rPr>
            </w:pPr>
            <w:r w:rsidRPr="009D028F">
              <w:rPr>
                <w:lang w:eastAsia="pl-PL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pStyle w:val="Nagwek2"/>
              <w:tabs>
                <w:tab w:val="left" w:pos="283"/>
              </w:tabs>
              <w:suppressAutoHyphens/>
              <w:snapToGrid w:val="0"/>
              <w:spacing w:before="0"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pStyle w:val="Nagwek2"/>
              <w:numPr>
                <w:ilvl w:val="0"/>
                <w:numId w:val="1"/>
              </w:numPr>
              <w:tabs>
                <w:tab w:val="left" w:pos="283"/>
              </w:tabs>
              <w:suppressAutoHyphens/>
              <w:snapToGrid w:val="0"/>
              <w:spacing w:before="0"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pStyle w:val="Nagwek2"/>
              <w:tabs>
                <w:tab w:val="left" w:pos="283"/>
              </w:tabs>
              <w:suppressAutoHyphens/>
              <w:snapToGrid w:val="0"/>
              <w:spacing w:before="0" w:after="0"/>
              <w:rPr>
                <w:b w:val="0"/>
                <w:i w:val="0"/>
                <w:sz w:val="20"/>
                <w:szCs w:val="20"/>
              </w:rPr>
            </w:pPr>
            <w:r w:rsidRPr="009D028F">
              <w:rPr>
                <w:b w:val="0"/>
                <w:i w:val="0"/>
                <w:sz w:val="20"/>
                <w:szCs w:val="20"/>
              </w:rPr>
              <w:t>Możliwość wykonywania zabiegów plazmaferezy  (TPE)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pStyle w:val="Nagwek2"/>
              <w:tabs>
                <w:tab w:val="left" w:pos="283"/>
              </w:tabs>
              <w:suppressAutoHyphens/>
              <w:snapToGrid w:val="0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B60F2E" w:rsidRPr="009D028F" w:rsidRDefault="00B60F2E" w:rsidP="00B60F2E">
            <w:pPr>
              <w:jc w:val="center"/>
              <w:rPr>
                <w:lang w:eastAsia="pl-PL"/>
              </w:rPr>
            </w:pPr>
            <w:r w:rsidRPr="009D028F">
              <w:rPr>
                <w:lang w:eastAsia="pl-PL"/>
              </w:rPr>
              <w:t>Tak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pStyle w:val="Nagwek2"/>
              <w:tabs>
                <w:tab w:val="left" w:pos="283"/>
              </w:tabs>
              <w:suppressAutoHyphens/>
              <w:snapToGrid w:val="0"/>
              <w:spacing w:before="0"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Kasetowy system drenów umożliwiający łatwy i szybki montaż oraz wymianę filtra w trakcie zabiegu, bez konieczności wymiany całej kasety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Zintegrowane dreny cytrynianu i wapnia z układem krążenia pozaustrojowego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 xml:space="preserve">Nieprzerwana podaż antykoagulantu cytrynianowego podczas zmiany worków dializatu, substytutu, filtratu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B60F2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Możliwość zmian rodzaju antykoagulacji w trakcie zabiegu (cytrynianowa/heparynowa) bez konieczności wymiany zestawu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B60F2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Hipertoniczny roztwór cytrynianu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B60F2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 xml:space="preserve">Możliwość poboru roztworu dializatu z </w:t>
            </w:r>
            <w:r w:rsidR="00B60F2E" w:rsidRPr="009D028F"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Pr="009D028F">
              <w:rPr>
                <w:rFonts w:ascii="Arial" w:hAnsi="Arial" w:cs="Arial"/>
                <w:sz w:val="20"/>
                <w:szCs w:val="20"/>
              </w:rPr>
              <w:t>4 worków bez dodatkowego łącznika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 xml:space="preserve">Możliwość podłączenia worka/worków na filtrat do </w:t>
            </w:r>
            <w:smartTag w:uri="urn:schemas-microsoft-com:office:smarttags" w:element="metricconverter">
              <w:smartTagPr>
                <w:attr w:name="ProductID" w:val="20 L"/>
              </w:smartTagPr>
              <w:r w:rsidRPr="009D028F">
                <w:rPr>
                  <w:rFonts w:ascii="Arial" w:hAnsi="Arial" w:cs="Arial"/>
                  <w:sz w:val="20"/>
                  <w:szCs w:val="20"/>
                </w:rPr>
                <w:t>20 L</w:t>
              </w:r>
            </w:smartTag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 xml:space="preserve">Możliwość zmiany i zapamiętania domyślnych parametrów dla każdego </w:t>
            </w:r>
            <w:r w:rsidRPr="009D028F">
              <w:rPr>
                <w:rFonts w:ascii="Arial" w:hAnsi="Arial" w:cs="Arial"/>
                <w:sz w:val="20"/>
                <w:szCs w:val="20"/>
              </w:rPr>
              <w:lastRenderedPageBreak/>
              <w:t>rodzaju zabiegu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Ultrafiltracja netto w przedziale minimum 0 – 990 ml/godz.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0F7D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Wydajność pompy krwi przedziale minimum 10 – 500 ml/min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Możliwość ustawiania/obracania ekranu w dwu osiach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 xml:space="preserve">Komunikacja poprzez ekran dotykowy min. </w:t>
            </w:r>
            <w:smartTag w:uri="urn:schemas-microsoft-com:office:smarttags" w:element="metricconverter">
              <w:smartTagPr>
                <w:attr w:name="ProductID" w:val="15”"/>
              </w:smartTagPr>
              <w:r w:rsidRPr="009D028F">
                <w:rPr>
                  <w:rFonts w:ascii="Arial" w:hAnsi="Arial" w:cs="Arial"/>
                  <w:sz w:val="20"/>
                  <w:szCs w:val="20"/>
                </w:rPr>
                <w:t>15”</w:t>
              </w:r>
            </w:smartTag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 xml:space="preserve">System pomocy kontekstowej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B60F2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B60F2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Możliwość  regulacji poziomu krwi w zbiorniczku żylnym z poziomu ekranu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trHeight w:val="2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 xml:space="preserve">Dwa detektory powietrza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Detektor przecieku krwi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B60F2E" w:rsidP="00707A2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 xml:space="preserve">Minimum 4 </w:t>
            </w:r>
            <w:r w:rsidR="00DD71AB" w:rsidRPr="009D028F">
              <w:rPr>
                <w:rFonts w:ascii="Arial" w:hAnsi="Arial" w:cs="Arial"/>
                <w:sz w:val="20"/>
                <w:szCs w:val="20"/>
              </w:rPr>
              <w:t>pomp</w:t>
            </w:r>
            <w:r w:rsidRPr="009D028F">
              <w:rPr>
                <w:rFonts w:ascii="Arial" w:hAnsi="Arial" w:cs="Arial"/>
                <w:sz w:val="20"/>
                <w:szCs w:val="20"/>
              </w:rPr>
              <w:t>y perystaltyczne</w:t>
            </w:r>
            <w:r w:rsidR="00DD71AB" w:rsidRPr="009D02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028F">
              <w:rPr>
                <w:rFonts w:ascii="Arial" w:hAnsi="Arial" w:cs="Arial"/>
                <w:sz w:val="20"/>
                <w:szCs w:val="20"/>
              </w:rPr>
              <w:t xml:space="preserve">zintegrowane </w:t>
            </w:r>
            <w:r w:rsidR="00DD71AB" w:rsidRPr="009D028F">
              <w:rPr>
                <w:rFonts w:ascii="Arial" w:hAnsi="Arial" w:cs="Arial"/>
                <w:sz w:val="20"/>
                <w:szCs w:val="20"/>
              </w:rPr>
              <w:t xml:space="preserve"> na płycie czołowej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 xml:space="preserve">Pompa strzykawkowa do heparyny z automatyczną detekcją podłączenia strzykawki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Pomiar ciśnienia dostępu, zwrotu i przed filtrem bez kontaktu z powietrzem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Możliwość uzyskania wstecznego przepływu krwi w celu udrożnienia dostępu naczyniowego bez konieczności rozłączania układu krążenia pozaustrojowego i płukania cewnika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Graficzny kolorowy podgląd istotnych stanów pracy urządzenia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Zasilanie awaryjne zapewniające podtrzymanie krążenia pozaustrojowego przez co najmniej 15 min.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Zintegrowany system do podgrzewania roztworów substytutu i dializatu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 xml:space="preserve">System bilansujący grawimetryczny z czterema niezależnymi wagami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Tryb pielęgnacji z wyłączonym bilansowaniem i zmniejszonym przepływem krwi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Wózek jezdny aparatu na 4 niezależnych kołach, w tym 2 z blokadą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B60F2E" w:rsidP="000F7D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U</w:t>
            </w:r>
            <w:r w:rsidR="00DD71AB" w:rsidRPr="009D028F">
              <w:rPr>
                <w:rFonts w:ascii="Arial" w:hAnsi="Arial" w:cs="Arial"/>
                <w:sz w:val="20"/>
                <w:szCs w:val="20"/>
              </w:rPr>
              <w:t xml:space="preserve">chwyty ułatwiające przesuwanie/obracanie urządzenia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467925">
        <w:trPr>
          <w:jc w:val="center"/>
        </w:trPr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B60F2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eastAsia="Calibri" w:hAnsi="Arial" w:cs="Arial"/>
                <w:b/>
                <w:sz w:val="20"/>
              </w:rPr>
              <w:t>Warunki serwisu</w:t>
            </w:r>
          </w:p>
        </w:tc>
      </w:tr>
      <w:tr w:rsidR="009D028F" w:rsidRPr="009D028F" w:rsidTr="008D2893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63637">
            <w:pPr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 xml:space="preserve">Okres gwarancji minimum 36 miesięcy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63637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F7D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8D2893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63637">
            <w:pPr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63637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B60F2E" w:rsidRPr="009D028F" w:rsidRDefault="00B60F2E" w:rsidP="00063637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B60F2E" w:rsidRPr="009D028F" w:rsidRDefault="00B60F2E" w:rsidP="00063637">
            <w:pPr>
              <w:jc w:val="center"/>
              <w:rPr>
                <w:rFonts w:ascii="Arial" w:hAnsi="Arial" w:cs="Arial"/>
                <w:sz w:val="20"/>
              </w:rPr>
            </w:pPr>
          </w:p>
          <w:p w:rsidR="00B60F2E" w:rsidRPr="009D028F" w:rsidRDefault="00B60F2E" w:rsidP="00063637">
            <w:pPr>
              <w:jc w:val="center"/>
              <w:rPr>
                <w:rFonts w:ascii="Arial" w:hAnsi="Arial" w:cs="Arial"/>
                <w:sz w:val="20"/>
              </w:rPr>
            </w:pPr>
          </w:p>
          <w:p w:rsidR="00B60F2E" w:rsidRPr="009D028F" w:rsidRDefault="00B60F2E" w:rsidP="00063637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F7D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8D2893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63637">
            <w:pPr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 xml:space="preserve">Czas reakcji na zgłoszenie usterki nastąpi najpóźniej w następnym dniu roboczym od dnia zgłoszenia. Dni robocze rozumiane są jako dni od poniedziałku do piątku z wyłączeniem dni ustawowo </w:t>
            </w:r>
            <w:r w:rsidRPr="009D028F">
              <w:rPr>
                <w:rFonts w:ascii="Arial" w:eastAsia="Calibri" w:hAnsi="Arial" w:cs="Arial"/>
                <w:sz w:val="20"/>
              </w:rPr>
              <w:lastRenderedPageBreak/>
              <w:t>wolnych od pracy.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63637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B60F2E" w:rsidRPr="009D028F" w:rsidRDefault="00B60F2E" w:rsidP="00063637">
            <w:pPr>
              <w:jc w:val="center"/>
              <w:rPr>
                <w:rFonts w:ascii="Arial" w:hAnsi="Arial" w:cs="Arial"/>
                <w:sz w:val="20"/>
              </w:rPr>
            </w:pPr>
          </w:p>
          <w:p w:rsidR="00B60F2E" w:rsidRPr="009D028F" w:rsidRDefault="00B60F2E" w:rsidP="00063637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F7D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8D2893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63637">
            <w:pPr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63637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B60F2E" w:rsidRPr="009D028F" w:rsidRDefault="00B60F2E" w:rsidP="00063637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F7D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8D2893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63637">
            <w:pPr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Okres dostępności części zamiennych od daty sprzedaży przez min. 10 lat.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63637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F7D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8D2893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63637">
            <w:pPr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63637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B60F2E" w:rsidRPr="009D028F" w:rsidRDefault="00B60F2E" w:rsidP="00063637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F7D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8D2893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63637">
            <w:pPr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Przedłużenie gwarancji o czas niesprawności sprzętu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63637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B60F2E" w:rsidRPr="009D028F" w:rsidRDefault="00B60F2E" w:rsidP="00063637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F7D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F2E" w:rsidRPr="009D028F" w:rsidTr="008D2893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63637">
            <w:pPr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63637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B60F2E" w:rsidRPr="009D028F" w:rsidRDefault="00B60F2E" w:rsidP="00063637">
            <w:pPr>
              <w:jc w:val="center"/>
              <w:rPr>
                <w:rFonts w:ascii="Arial" w:hAnsi="Arial" w:cs="Arial"/>
                <w:sz w:val="20"/>
              </w:rPr>
            </w:pPr>
          </w:p>
          <w:p w:rsidR="00B60F2E" w:rsidRPr="009D028F" w:rsidRDefault="00B60F2E" w:rsidP="00063637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F7D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7DD6" w:rsidRPr="009D028F" w:rsidRDefault="000F7DD6"/>
    <w:sectPr w:rsidR="000F7DD6" w:rsidRPr="009D028F" w:rsidSect="00FD10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F41" w:rsidRDefault="00144F41" w:rsidP="002A45AB">
      <w:pPr>
        <w:spacing w:after="0" w:line="240" w:lineRule="auto"/>
      </w:pPr>
      <w:r>
        <w:separator/>
      </w:r>
    </w:p>
  </w:endnote>
  <w:endnote w:type="continuationSeparator" w:id="0">
    <w:p w:rsidR="00144F41" w:rsidRDefault="00144F41" w:rsidP="002A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F41" w:rsidRDefault="00144F41" w:rsidP="002A45AB">
      <w:pPr>
        <w:spacing w:after="0" w:line="240" w:lineRule="auto"/>
      </w:pPr>
      <w:r>
        <w:separator/>
      </w:r>
    </w:p>
  </w:footnote>
  <w:footnote w:type="continuationSeparator" w:id="0">
    <w:p w:rsidR="00144F41" w:rsidRDefault="00144F41" w:rsidP="002A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AB" w:rsidRDefault="002A45AB" w:rsidP="002A45AB">
    <w:pPr>
      <w:pStyle w:val="Nagwek"/>
    </w:pPr>
    <w:r>
      <w:rPr>
        <w:noProof/>
        <w:lang w:eastAsia="pl-PL"/>
      </w:rPr>
      <w:drawing>
        <wp:inline distT="0" distB="0" distL="0" distR="0">
          <wp:extent cx="6170295" cy="683895"/>
          <wp:effectExtent l="0" t="0" r="1905" b="1905"/>
          <wp:docPr id="2" name="Obraz 2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02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45AB" w:rsidRDefault="002A45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34CC"/>
    <w:multiLevelType w:val="hybridMultilevel"/>
    <w:tmpl w:val="7C705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D6"/>
    <w:rsid w:val="0000700D"/>
    <w:rsid w:val="000F4FBC"/>
    <w:rsid w:val="000F7DD6"/>
    <w:rsid w:val="00144F41"/>
    <w:rsid w:val="00223FF8"/>
    <w:rsid w:val="002A45AB"/>
    <w:rsid w:val="003C6C81"/>
    <w:rsid w:val="003E3661"/>
    <w:rsid w:val="004F71A7"/>
    <w:rsid w:val="005443B6"/>
    <w:rsid w:val="00567228"/>
    <w:rsid w:val="00707A23"/>
    <w:rsid w:val="009751A1"/>
    <w:rsid w:val="009D028F"/>
    <w:rsid w:val="00B065A4"/>
    <w:rsid w:val="00B60F2E"/>
    <w:rsid w:val="00D336DF"/>
    <w:rsid w:val="00D630A1"/>
    <w:rsid w:val="00D64E28"/>
    <w:rsid w:val="00DD71AB"/>
    <w:rsid w:val="00E90584"/>
    <w:rsid w:val="00FD1064"/>
    <w:rsid w:val="00FF2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599CC83-475E-49C0-8C63-ADB275F6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064"/>
  </w:style>
  <w:style w:type="paragraph" w:styleId="Nagwek2">
    <w:name w:val="heading 2"/>
    <w:basedOn w:val="Normalny"/>
    <w:next w:val="Normalny"/>
    <w:link w:val="Nagwek2Znak"/>
    <w:qFormat/>
    <w:rsid w:val="000F7D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F7DD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qFormat/>
    <w:rsid w:val="000F7DD6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661"/>
    <w:rPr>
      <w:rFonts w:ascii="Tahoma" w:hAnsi="Tahoma" w:cs="Tahoma"/>
      <w:sz w:val="16"/>
      <w:szCs w:val="16"/>
    </w:rPr>
  </w:style>
  <w:style w:type="paragraph" w:customStyle="1" w:styleId="Domynie">
    <w:name w:val="Domy徑nie"/>
    <w:uiPriority w:val="99"/>
    <w:rsid w:val="00DD71A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5AB"/>
  </w:style>
  <w:style w:type="paragraph" w:styleId="Stopka">
    <w:name w:val="footer"/>
    <w:basedOn w:val="Normalny"/>
    <w:link w:val="StopkaZnak"/>
    <w:uiPriority w:val="99"/>
    <w:unhideWhenUsed/>
    <w:rsid w:val="002A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Jędrzejczak-Galewska</dc:creator>
  <cp:keywords/>
  <dc:description/>
  <cp:lastModifiedBy>Andrzej</cp:lastModifiedBy>
  <cp:revision>2</cp:revision>
  <dcterms:created xsi:type="dcterms:W3CDTF">2021-05-04T06:46:00Z</dcterms:created>
  <dcterms:modified xsi:type="dcterms:W3CDTF">2021-05-04T06:46:00Z</dcterms:modified>
</cp:coreProperties>
</file>